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719E" w14:textId="77777777" w:rsidR="006E096C" w:rsidRPr="006E096C" w:rsidRDefault="006E096C" w:rsidP="006E096C">
      <w:pPr>
        <w:jc w:val="center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UMOWA O ZACHOWANIU POUFNOŚCI</w:t>
      </w:r>
      <w:r w:rsidRPr="006E096C">
        <w:rPr>
          <w:rFonts w:ascii="Arial" w:hAnsi="Arial" w:cs="Arial"/>
          <w:sz w:val="22"/>
          <w:szCs w:val="22"/>
        </w:rPr>
        <w:t xml:space="preserve"> </w:t>
      </w:r>
      <w:r w:rsidRPr="006E096C">
        <w:rPr>
          <w:rFonts w:ascii="Arial" w:hAnsi="Arial" w:cs="Arial"/>
          <w:b/>
          <w:bCs/>
          <w:sz w:val="22"/>
          <w:szCs w:val="22"/>
        </w:rPr>
        <w:t>(NDA — Non-</w:t>
      </w:r>
      <w:proofErr w:type="spellStart"/>
      <w:r w:rsidRPr="006E096C">
        <w:rPr>
          <w:rFonts w:ascii="Arial" w:hAnsi="Arial" w:cs="Arial"/>
          <w:b/>
          <w:bCs/>
          <w:sz w:val="22"/>
          <w:szCs w:val="22"/>
        </w:rPr>
        <w:t>Disclosure</w:t>
      </w:r>
      <w:proofErr w:type="spellEnd"/>
      <w:r w:rsidRPr="006E096C">
        <w:rPr>
          <w:rFonts w:ascii="Arial" w:hAnsi="Arial" w:cs="Arial"/>
          <w:b/>
          <w:bCs/>
          <w:sz w:val="22"/>
          <w:szCs w:val="22"/>
        </w:rPr>
        <w:t xml:space="preserve"> Agreement)</w:t>
      </w:r>
    </w:p>
    <w:p w14:paraId="3F2D85A1" w14:textId="77777777" w:rsidR="006E096C" w:rsidRPr="006E096C" w:rsidRDefault="006E096C" w:rsidP="006E096C">
      <w:pPr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Zawarta w dniu ………………………… r. w ………………………………………… pomiędzy:</w:t>
      </w:r>
    </w:p>
    <w:p w14:paraId="117DDB12" w14:textId="1FBB9F88" w:rsidR="006E096C" w:rsidRPr="006E096C" w:rsidRDefault="006E096C" w:rsidP="006E096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Stroną Ujawniającą:</w:t>
      </w:r>
      <w:r w:rsidRPr="006E096C">
        <w:rPr>
          <w:rFonts w:ascii="Arial" w:hAnsi="Arial" w:cs="Arial"/>
          <w:sz w:val="22"/>
          <w:szCs w:val="22"/>
        </w:rPr>
        <w:t xml:space="preserve"> </w:t>
      </w:r>
    </w:p>
    <w:p w14:paraId="256172FB" w14:textId="6EADE1C8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Nazwa / Firma: …………………………………………………………………………………………</w:t>
      </w:r>
    </w:p>
    <w:p w14:paraId="2684C96C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Forma prawna: …………………………………………………………………………………………</w:t>
      </w:r>
    </w:p>
    <w:p w14:paraId="4F2FFD97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Adres siedziby: …………………………………………………………………………………………</w:t>
      </w:r>
    </w:p>
    <w:p w14:paraId="7F205D06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………………………………………………………………………………………………………</w:t>
      </w:r>
    </w:p>
    <w:p w14:paraId="179DA0D9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KRS / CEIDG: ……………………………………………………………………………………………</w:t>
      </w:r>
    </w:p>
    <w:p w14:paraId="63A71D4D" w14:textId="7BE3F134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Reprezentowana przez: …………………………………………………………………………………</w:t>
      </w:r>
    </w:p>
    <w:p w14:paraId="7F9ADDCA" w14:textId="733B80CC" w:rsidR="006E096C" w:rsidRPr="006E096C" w:rsidRDefault="006E096C" w:rsidP="006E096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Stroną Otrzymującą:</w:t>
      </w:r>
      <w:r w:rsidRPr="006E096C">
        <w:rPr>
          <w:rFonts w:ascii="Arial" w:hAnsi="Arial" w:cs="Arial"/>
          <w:sz w:val="22"/>
          <w:szCs w:val="22"/>
        </w:rPr>
        <w:t xml:space="preserve"> </w:t>
      </w:r>
    </w:p>
    <w:p w14:paraId="6F5F04AA" w14:textId="1D7DD681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Nazwa / Firma: …………………………………………………………………………………………</w:t>
      </w:r>
    </w:p>
    <w:p w14:paraId="2B42E1D3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Forma prawna: …………………………………………………………………………………………</w:t>
      </w:r>
    </w:p>
    <w:p w14:paraId="3FDE1D11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Adres siedziby: …………………………………………………………………………………………</w:t>
      </w:r>
    </w:p>
    <w:p w14:paraId="470DDE9B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………………………………………………………………………………………………………</w:t>
      </w:r>
    </w:p>
    <w:p w14:paraId="7A21BA72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KRS / CEIDG: ……………………………………………………………………………………………</w:t>
      </w:r>
    </w:p>
    <w:p w14:paraId="7AFA94F5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Reprezentowana przez: …………………………………………………………………………………</w:t>
      </w:r>
    </w:p>
    <w:p w14:paraId="1D1BFA87" w14:textId="7A316A6B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</w:p>
    <w:p w14:paraId="5566C191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i/>
          <w:iCs/>
          <w:sz w:val="22"/>
          <w:szCs w:val="22"/>
        </w:rPr>
        <w:t>Wariant dwustronny: Jeżeli obie strony ujawniają sobie nawzajem informacje poufne — każda z nich jest jednocześnie Stroną Ujawniającą i Otrzymującą.</w:t>
      </w:r>
    </w:p>
    <w:p w14:paraId="621CBE2D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Strona Ujawniająca i Strona Otrzymująca zwane są dalej łącznie „Stronami", a każda z osobna „Stroną".</w:t>
      </w:r>
    </w:p>
    <w:p w14:paraId="03B8B0C6" w14:textId="77777777" w:rsidR="006E096C" w:rsidRPr="006E096C" w:rsidRDefault="006E096C" w:rsidP="006E096C">
      <w:pPr>
        <w:jc w:val="center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§ 1. Przedmiot i cel umowy</w:t>
      </w:r>
    </w:p>
    <w:p w14:paraId="5F624909" w14:textId="77777777" w:rsidR="006E096C" w:rsidRPr="006E096C" w:rsidRDefault="006E096C" w:rsidP="006E096C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Umowa zostaje zawarta w związku z zamiarem nawiązania / prowadzeniem przez Strony współpracy w zakresie: …………………………………………………………………… </w:t>
      </w:r>
      <w:r w:rsidRPr="006E096C">
        <w:rPr>
          <w:rFonts w:ascii="Arial" w:hAnsi="Arial" w:cs="Arial"/>
          <w:i/>
          <w:iCs/>
          <w:sz w:val="22"/>
          <w:szCs w:val="22"/>
        </w:rPr>
        <w:t>(np. opracowania oprogramowania / negocjacji umowy wdrożeniowej / analizy możliwości integracji systemów IT)</w:t>
      </w:r>
      <w:r w:rsidRPr="006E096C">
        <w:rPr>
          <w:rFonts w:ascii="Arial" w:hAnsi="Arial" w:cs="Arial"/>
          <w:sz w:val="22"/>
          <w:szCs w:val="22"/>
        </w:rPr>
        <w:t xml:space="preserve"> — zwanej dalej „Projektem".</w:t>
      </w:r>
    </w:p>
    <w:p w14:paraId="5898C572" w14:textId="77777777" w:rsidR="006E096C" w:rsidRPr="006E096C" w:rsidRDefault="006E096C" w:rsidP="006E096C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Celem Umowy jest ochrona Informacji Poufnych ujawnianych przez Stronę Ujawniającą Stronie Otrzymującej w trakcie realizacji Projektu oraz wszelkich działań poprzedzających zawarcie umowy głównej.</w:t>
      </w:r>
    </w:p>
    <w:p w14:paraId="77DB84D2" w14:textId="77777777" w:rsidR="006E096C" w:rsidRPr="006E096C" w:rsidRDefault="006E096C" w:rsidP="006E096C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Zawarcie niniejszej Umowy nie stanowi zobowiązania żadnej ze Stron do zawarcia umowy głównej dotyczącej Projektu ani do kontynuowania rozmów oraz negocjacji.</w:t>
      </w:r>
    </w:p>
    <w:p w14:paraId="3B836766" w14:textId="77777777" w:rsidR="006E096C" w:rsidRPr="006E096C" w:rsidRDefault="006E096C" w:rsidP="006E096C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lastRenderedPageBreak/>
        <w:t>Niezależnie od postanowień niniejszej Umowy, Strony są świadome dodatkowej ochrony tajemnicy przedsiębiorstwa wynikającej z ustawy z dnia 16 kwietnia 1993 r. o zwalczaniu nieuczciwej konkurencji (</w:t>
      </w:r>
      <w:proofErr w:type="spellStart"/>
      <w:r w:rsidRPr="006E096C">
        <w:rPr>
          <w:rFonts w:ascii="Arial" w:hAnsi="Arial" w:cs="Arial"/>
          <w:sz w:val="22"/>
          <w:szCs w:val="22"/>
        </w:rPr>
        <w:t>t.j</w:t>
      </w:r>
      <w:proofErr w:type="spellEnd"/>
      <w:r w:rsidRPr="006E096C">
        <w:rPr>
          <w:rFonts w:ascii="Arial" w:hAnsi="Arial" w:cs="Arial"/>
          <w:sz w:val="22"/>
          <w:szCs w:val="22"/>
        </w:rPr>
        <w:t>. Dz.U. z 2022 r. poz. 1233 ze zm.). Postanowienia niniejszej Umowy nie wyłączają roszczeń przysługujących na podstawie tej ustawy.</w:t>
      </w:r>
    </w:p>
    <w:p w14:paraId="1970D2EA" w14:textId="077EBD7C" w:rsidR="006E096C" w:rsidRPr="006E096C" w:rsidRDefault="006E096C" w:rsidP="006E09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§ 2.</w:t>
      </w:r>
      <w:r w:rsidRPr="006E096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E096C">
        <w:rPr>
          <w:rFonts w:ascii="Arial" w:hAnsi="Arial" w:cs="Arial"/>
          <w:b/>
          <w:bCs/>
          <w:sz w:val="22"/>
          <w:szCs w:val="22"/>
        </w:rPr>
        <w:t>Definicje</w:t>
      </w:r>
    </w:p>
    <w:p w14:paraId="61D96352" w14:textId="510D4F02" w:rsidR="006E096C" w:rsidRPr="006E096C" w:rsidRDefault="006E096C" w:rsidP="006E096C">
      <w:pPr>
        <w:pStyle w:val="Akapitzlist"/>
        <w:numPr>
          <w:ilvl w:val="1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Informacje Poufne</w:t>
      </w:r>
      <w:r w:rsidRPr="006E096C">
        <w:rPr>
          <w:rFonts w:ascii="Arial" w:hAnsi="Arial" w:cs="Arial"/>
          <w:b/>
          <w:bCs/>
          <w:sz w:val="22"/>
          <w:szCs w:val="22"/>
        </w:rPr>
        <w:t>:</w:t>
      </w:r>
    </w:p>
    <w:p w14:paraId="496EDB97" w14:textId="77777777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 „Informacje Poufne" oznaczają wszelkie informacje techniczne, technologiczne, handlowe, finansowe, prawne i organizacyjne posiadające wartość gospodarczą, przekazane przez Stronę Ujawniającą Stronie Otrzymującej — niezależnie od formy przekazu (pisemnej, ustnej, elektronicznej, wizualnej albo jakiejkolwiek innej) oraz niezależnie od tego, czy zostały wyraźnie oznaczone jako poufne — w tym w szczególności: </w:t>
      </w:r>
    </w:p>
    <w:p w14:paraId="2263A65E" w14:textId="77777777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a) kod źródłowy, algorytmy, architektury systemów, dokumentacja techniczna i specyfikacje oprogramowania; </w:t>
      </w:r>
    </w:p>
    <w:p w14:paraId="5ED3A97F" w14:textId="77777777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b) dane dotyczące klientów, baz danych, procesów sprzedażowych i strategii marketingowych; </w:t>
      </w:r>
    </w:p>
    <w:p w14:paraId="008931D7" w14:textId="77777777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c) informacje finansowe, budżety, prognozy przychodów, modele biznesowe; d) know-how, metody działania, plany produktowe i </w:t>
      </w:r>
      <w:proofErr w:type="spellStart"/>
      <w:r w:rsidRPr="006E096C">
        <w:rPr>
          <w:rFonts w:ascii="Arial" w:hAnsi="Arial" w:cs="Arial"/>
          <w:sz w:val="22"/>
          <w:szCs w:val="22"/>
        </w:rPr>
        <w:t>roadmapy</w:t>
      </w:r>
      <w:proofErr w:type="spellEnd"/>
      <w:r w:rsidRPr="006E096C">
        <w:rPr>
          <w:rFonts w:ascii="Arial" w:hAnsi="Arial" w:cs="Arial"/>
          <w:sz w:val="22"/>
          <w:szCs w:val="22"/>
        </w:rPr>
        <w:t xml:space="preserve"> technologiczne; </w:t>
      </w:r>
    </w:p>
    <w:p w14:paraId="69F2F586" w14:textId="77777777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e) dane osobowe pracowników, współpracowników i klientów; </w:t>
      </w:r>
    </w:p>
    <w:p w14:paraId="356E87AD" w14:textId="77777777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f) wyniki prac badawczo-rozwojowych, testy, prototypy, analizy techniczne; g) informacje o infrastrukturze technicznej, środowiskach serwerowych, konfiguracjach systemów i zabezpieczeniach; </w:t>
      </w:r>
    </w:p>
    <w:p w14:paraId="3B227851" w14:textId="28C1FF5E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h) sam fakt prowadzenia rozmów między Stronami oraz treść tych rozmów; i) wszelkie inne informacje oznaczone jako POUFNE lub których poufny charakter wynika z okoliczności ujawnienia.</w:t>
      </w:r>
    </w:p>
    <w:p w14:paraId="346E811C" w14:textId="77777777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W razie jakiejkolwiek wątpliwości co do charakteru danej informacji, uznaje się ją za Informację Poufną.</w:t>
      </w:r>
    </w:p>
    <w:p w14:paraId="7C654906" w14:textId="54AF7413" w:rsidR="006E096C" w:rsidRPr="006E096C" w:rsidRDefault="006E096C" w:rsidP="006E096C">
      <w:pPr>
        <w:pStyle w:val="Akapitzlist"/>
        <w:numPr>
          <w:ilvl w:val="1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Naruszenie</w:t>
      </w:r>
      <w:r w:rsidRPr="006E096C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E38EA77" w14:textId="77777777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Za naruszenie Umowy uznaje się w szczególności: </w:t>
      </w:r>
    </w:p>
    <w:p w14:paraId="3ADFB76C" w14:textId="38C45401" w:rsidR="006E096C" w:rsidRPr="006E096C" w:rsidRDefault="006E096C" w:rsidP="006E096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ujawnienie, przekazanie lub udostępnienie Informacji Poufnych osobie trzeciej bez pisemnej zgody Strony Ujawniającej; </w:t>
      </w:r>
    </w:p>
    <w:p w14:paraId="01F896F8" w14:textId="09C18C8E" w:rsidR="006E096C" w:rsidRPr="006E096C" w:rsidRDefault="006E096C" w:rsidP="006E096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wykorzystanie Informacji Poufnych w celu innym niż realizacja Projektu określonego w § 1; </w:t>
      </w:r>
    </w:p>
    <w:p w14:paraId="0E5BE62B" w14:textId="7AC0C16C" w:rsidR="006E096C" w:rsidRPr="006E096C" w:rsidRDefault="006E096C" w:rsidP="006E096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p</w:t>
      </w:r>
      <w:r w:rsidRPr="006E096C">
        <w:rPr>
          <w:rFonts w:ascii="Arial" w:hAnsi="Arial" w:cs="Arial"/>
          <w:sz w:val="22"/>
          <w:szCs w:val="22"/>
        </w:rPr>
        <w:t>odejmowanie prób dekompilacji, inżynierii wstecznej (</w:t>
      </w:r>
      <w:proofErr w:type="spellStart"/>
      <w:r w:rsidRPr="006E096C">
        <w:rPr>
          <w:rFonts w:ascii="Arial" w:hAnsi="Arial" w:cs="Arial"/>
          <w:sz w:val="22"/>
          <w:szCs w:val="22"/>
        </w:rPr>
        <w:t>reverse</w:t>
      </w:r>
      <w:proofErr w:type="spellEnd"/>
      <w:r w:rsidRPr="006E096C">
        <w:rPr>
          <w:rFonts w:ascii="Arial" w:hAnsi="Arial" w:cs="Arial"/>
          <w:sz w:val="22"/>
          <w:szCs w:val="22"/>
        </w:rPr>
        <w:t xml:space="preserve"> engineering) lub analizy struktury oprogramowania w celach innych niż uzgodnione w Projekcie; d) niewykonanie obowiązku zwrotu lub zniszczenia materiałów po zakończeniu Projektu (§ 6 ust. 2); e) niewykonanie obowiązku powiadomienia o naruszeniu poufności w terminie określonym w § 4 ust. 5.</w:t>
      </w:r>
    </w:p>
    <w:p w14:paraId="144FFF51" w14:textId="5C0283F1" w:rsidR="006E096C" w:rsidRPr="006E096C" w:rsidRDefault="006E096C" w:rsidP="006E096C">
      <w:pPr>
        <w:pStyle w:val="Akapitzlist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Wyłączenia</w:t>
      </w:r>
      <w:r w:rsidRPr="006E096C">
        <w:rPr>
          <w:rFonts w:ascii="Arial" w:hAnsi="Arial" w:cs="Arial"/>
          <w:sz w:val="22"/>
          <w:szCs w:val="22"/>
        </w:rPr>
        <w:t xml:space="preserve"> </w:t>
      </w:r>
      <w:r w:rsidRPr="006E096C">
        <w:rPr>
          <w:rFonts w:ascii="Arial" w:hAnsi="Arial" w:cs="Arial"/>
          <w:sz w:val="22"/>
          <w:szCs w:val="22"/>
        </w:rPr>
        <w:t>:</w:t>
      </w:r>
    </w:p>
    <w:p w14:paraId="79386E6A" w14:textId="77777777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Za Informacje Poufne nie uznaje się informacji, które:</w:t>
      </w:r>
    </w:p>
    <w:p w14:paraId="23E51040" w14:textId="77777777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lastRenderedPageBreak/>
        <w:t xml:space="preserve"> a) są lub stały się publicznie dostępne w sposób inny niż w wyniku naruszenia niniejszej Umowy; </w:t>
      </w:r>
    </w:p>
    <w:p w14:paraId="025F0444" w14:textId="77777777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b) były w posiadaniu Strony Otrzymującej przed ich ujawnieniem przez Stronę Ujawniającą — co Strona Otrzymująca jest w stanie udokumentować w formie pisemnej; </w:t>
      </w:r>
    </w:p>
    <w:p w14:paraId="54EAA3FB" w14:textId="77777777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c) zostały niezależnie opracowane przez Stronę Otrzymującą bez jakiegokolwiek dostępu do Informacji Poufnych — co Strona Otrzymująca jest w stanie udowodnić w formie pisemnej; </w:t>
      </w:r>
    </w:p>
    <w:p w14:paraId="00A60AF0" w14:textId="77777777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d) zostały uzyskane zgodnie z przepisami powszechnie obowiązującego prawa od osoby trzeciej, która nie była związana jakimkolwiek obowiązkiem poufności wobec Strony Ujawniającej; </w:t>
      </w:r>
    </w:p>
    <w:p w14:paraId="7699AEAC" w14:textId="48A1C241" w:rsidR="006E096C" w:rsidRPr="006E096C" w:rsidRDefault="006E096C" w:rsidP="006E096C">
      <w:pPr>
        <w:ind w:left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e) muszą zostać ujawnione na podstawie bezwzględnie obowiązujących przepisów prawa lub prawomocnego orzeczenia sądu bądź decyzji uprawnionego organu — z zastrzeżeniem § 4 ust. 6.</w:t>
      </w:r>
    </w:p>
    <w:p w14:paraId="00CEFF63" w14:textId="77777777" w:rsidR="006E096C" w:rsidRPr="006E096C" w:rsidRDefault="006E096C" w:rsidP="006E096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Ciężar dowodu </w:t>
      </w:r>
      <w:proofErr w:type="spellStart"/>
      <w:r w:rsidRPr="006E096C">
        <w:rPr>
          <w:rFonts w:ascii="Arial" w:hAnsi="Arial" w:cs="Arial"/>
          <w:sz w:val="22"/>
          <w:szCs w:val="22"/>
        </w:rPr>
        <w:t>wyłączeń</w:t>
      </w:r>
      <w:proofErr w:type="spellEnd"/>
      <w:r w:rsidRPr="006E096C">
        <w:rPr>
          <w:rFonts w:ascii="Arial" w:hAnsi="Arial" w:cs="Arial"/>
          <w:sz w:val="22"/>
          <w:szCs w:val="22"/>
        </w:rPr>
        <w:t xml:space="preserve"> z pkt a)–e) spoczywa w całości na Stronie Otrzymującej.</w:t>
      </w:r>
    </w:p>
    <w:p w14:paraId="20283908" w14:textId="77777777" w:rsidR="006E096C" w:rsidRPr="006E096C" w:rsidRDefault="006E096C" w:rsidP="006E096C">
      <w:pPr>
        <w:jc w:val="center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§ 3. Zakaz udzielania licencji</w:t>
      </w:r>
    </w:p>
    <w:p w14:paraId="4220A6FF" w14:textId="77777777" w:rsidR="006E096C" w:rsidRPr="006E096C" w:rsidRDefault="006E096C" w:rsidP="006E096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Wszelkie Informacje Poufne pozostają wyłączną własnością Strony Ujawniającej.</w:t>
      </w:r>
    </w:p>
    <w:p w14:paraId="79B367BA" w14:textId="77777777" w:rsidR="006E096C" w:rsidRPr="006E096C" w:rsidRDefault="006E096C" w:rsidP="006E096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Niniejsza Umowa nie przenosi na Stronę Otrzymującą żadnych praw własności intelektualnej, licencji, patentów, znaków towarowych ani innych uprawnień ani jakiejkolwiek innej formy własności przewidzianej przepisami prawa.</w:t>
      </w:r>
    </w:p>
    <w:p w14:paraId="729F400E" w14:textId="77777777" w:rsidR="006E096C" w:rsidRPr="006E096C" w:rsidRDefault="006E096C" w:rsidP="006E096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Udostępnienie Informacji Poufnych nie stanowi udzielenia licencji ani żadnego innego prawa do korzystania z nich.</w:t>
      </w:r>
    </w:p>
    <w:p w14:paraId="42B8E877" w14:textId="77777777" w:rsidR="006E096C" w:rsidRPr="006E096C" w:rsidRDefault="006E096C" w:rsidP="006E096C">
      <w:pPr>
        <w:pStyle w:val="Akapitzlist"/>
        <w:ind w:left="2136" w:firstLine="696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§ 4. Zobowiązania Strony Otrzymującej</w:t>
      </w:r>
      <w:r w:rsidRPr="006E096C">
        <w:rPr>
          <w:rFonts w:ascii="Arial" w:hAnsi="Arial" w:cs="Arial"/>
          <w:sz w:val="22"/>
          <w:szCs w:val="22"/>
        </w:rPr>
        <w:t xml:space="preserve"> </w:t>
      </w:r>
    </w:p>
    <w:p w14:paraId="62695218" w14:textId="7CFE4C0F" w:rsidR="006E096C" w:rsidRPr="006E096C" w:rsidRDefault="006E096C" w:rsidP="006E096C">
      <w:pPr>
        <w:pStyle w:val="Akapitzlis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Strona Otrzymująca zobowiązuje się do:</w:t>
      </w:r>
    </w:p>
    <w:p w14:paraId="7D7F4A0B" w14:textId="77777777" w:rsidR="006E096C" w:rsidRPr="006E096C" w:rsidRDefault="006E096C" w:rsidP="006E096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zachowania Informacji Poufnych w ścisłej tajemnicy i nieujawniania ich jakimkolwiek osobom trzecim bez uprzedniej, pisemnej zgody Strony Ujawniającej;</w:t>
      </w:r>
    </w:p>
    <w:p w14:paraId="17487458" w14:textId="77777777" w:rsidR="006E096C" w:rsidRPr="006E096C" w:rsidRDefault="006E096C" w:rsidP="006E096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wykorzystywania Informacji Poufnych wyłącznie w celu realizacji Projektu określonego w § 1;</w:t>
      </w:r>
    </w:p>
    <w:p w14:paraId="51A4209F" w14:textId="77777777" w:rsidR="006E096C" w:rsidRPr="006E096C" w:rsidRDefault="006E096C" w:rsidP="006E096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zastosowania co najmniej takiej samej staranności przy ochronie Informacji Poufnych, z jaką chroni własne informacje poufne — jednak nie mniejszej niż należyta staranność wymagana od profesjonalisty w danej branży;</w:t>
      </w:r>
    </w:p>
    <w:p w14:paraId="208446A2" w14:textId="77777777" w:rsidR="006E096C" w:rsidRPr="006E096C" w:rsidRDefault="006E096C" w:rsidP="006E096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ograniczenia dostępu do Informacji Poufnych wyłącznie do tych pracowników, współpracowników lub podwykonawców, którym są one niezbędne do realizacji Projektu — pod warunkiem uprzedniego zobowiązania ich do zachowania poufności w formie pisemnej na warunkach nie mniej restrykcyjnych niż niniejsza Umowa. Strona Otrzymująca ponosi pełną i solidarną odpowiedzialność za działania i zaniechania tych osób;</w:t>
      </w:r>
    </w:p>
    <w:p w14:paraId="0D968AA6" w14:textId="77777777" w:rsidR="006E096C" w:rsidRPr="006E096C" w:rsidRDefault="006E096C" w:rsidP="006E096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niezwłocznego — nie później niż w ciągu 72 godzin — pisemnego powiadomienia Strony Ujawniającej o każdym przypadku nieuprawnionego ujawnienia, utraty, </w:t>
      </w:r>
      <w:r w:rsidRPr="006E096C">
        <w:rPr>
          <w:rFonts w:ascii="Arial" w:hAnsi="Arial" w:cs="Arial"/>
          <w:sz w:val="22"/>
          <w:szCs w:val="22"/>
        </w:rPr>
        <w:lastRenderedPageBreak/>
        <w:t>kradzieży lub uzasadnionym podejrzeniu naruszenia poufności, wraz ze wskazaniem zakresu ujawnionych informacji i podjętych działań naprawczych;</w:t>
      </w:r>
    </w:p>
    <w:p w14:paraId="6351B4F4" w14:textId="77777777" w:rsidR="006E096C" w:rsidRPr="006E096C" w:rsidRDefault="006E096C" w:rsidP="006E096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ujawnienia Informacji Poufnych na żądanie właściwego organu lub sądu wyłącznie po uprzednim pisemnym powiadomieniu Strony Ujawniającej — z odpowiednim wyprzedzeniem umożliwiającym podjęcie działań ochronnych — o ile powiadomienie takie nie jest prawnie zakazane. Strona Otrzymująca ujawnia wyłącznie zakres absolutnie wymagany przez prawo;</w:t>
      </w:r>
    </w:p>
    <w:p w14:paraId="5097ECC0" w14:textId="77777777" w:rsidR="006E096C" w:rsidRPr="006E096C" w:rsidRDefault="006E096C" w:rsidP="006E096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niepodejmowania prób inżynierii wstecznej, dekompilacji, dezasemblacji ani analizy porównawczej Informacji Poufnych w celach innych niż wyraźnie wskazane w Projekcie.</w:t>
      </w:r>
    </w:p>
    <w:p w14:paraId="6F62621B" w14:textId="77777777" w:rsidR="006E096C" w:rsidRPr="006E096C" w:rsidRDefault="006E096C" w:rsidP="006E096C">
      <w:pPr>
        <w:jc w:val="center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§ 5. Czas trwania zobowiązania</w:t>
      </w:r>
    </w:p>
    <w:p w14:paraId="2C5A9647" w14:textId="77777777" w:rsidR="006E096C" w:rsidRPr="006E096C" w:rsidRDefault="006E096C" w:rsidP="006E096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Umowa wchodzi w życie z dniem jej podpisania przez obie Strony.</w:t>
      </w:r>
    </w:p>
    <w:p w14:paraId="2A43EDFF" w14:textId="77777777" w:rsidR="006E096C" w:rsidRPr="006E096C" w:rsidRDefault="006E096C" w:rsidP="006E096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Zobowiązanie do zachowania poufności obowiązuje przez 5 (pięć) lat od dnia zakończenia Projektu lub rozmów między Stronami — niezależnie od przyczyny zakończenia współpracy.</w:t>
      </w:r>
    </w:p>
    <w:p w14:paraId="0B0E1F10" w14:textId="77777777" w:rsidR="006E096C" w:rsidRPr="006E096C" w:rsidRDefault="006E096C" w:rsidP="006E096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Wygaśnięcie lub rozwiązanie Umowy nie zwalnia Strony Otrzymującej ze zobowiązań poufności podjętych w trakcie jej obowiązywania.</w:t>
      </w:r>
    </w:p>
    <w:p w14:paraId="37CA70F8" w14:textId="77777777" w:rsidR="006E096C" w:rsidRPr="006E096C" w:rsidRDefault="006E096C" w:rsidP="006E096C">
      <w:pPr>
        <w:jc w:val="center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§ 6. Zwrot i zniszczenie materiałów</w:t>
      </w:r>
    </w:p>
    <w:p w14:paraId="6C5CB0DC" w14:textId="77777777" w:rsidR="006E096C" w:rsidRPr="006E096C" w:rsidRDefault="006E096C" w:rsidP="006E096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Na pisemne żądanie Strony Ujawniającej lub niezwłocznie (nie później niż w ciągu 7 dni roboczych) po zakończeniu Projektu — Strona Otrzymująca zobowiązana jest do zwrotu wszystkich nośników, dokumentów i materiałów zawierających Informacje Poufne (wraz z kopiami, wydrukami i notatkami) lub trwałego, nieodwracalnego usunięcia Informacji Poufnych z wszelkich systemów informatycznych i nośników danych — z zastosowaniem metod uniemożliwiających ich odtworzenie.</w:t>
      </w:r>
    </w:p>
    <w:p w14:paraId="3AF9CECD" w14:textId="77777777" w:rsidR="006E096C" w:rsidRPr="006E096C" w:rsidRDefault="006E096C" w:rsidP="006E096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Strona Otrzymująca zobowiązana jest do pisemnego potwierdzenia wykonania powyższego obowiązku w terminie 7 dni roboczych, ze wskazaniem metody zniszczenia lub zwrotu.</w:t>
      </w:r>
    </w:p>
    <w:p w14:paraId="1C7F5116" w14:textId="77777777" w:rsidR="006E096C" w:rsidRPr="006E096C" w:rsidRDefault="006E096C" w:rsidP="006E096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Obowiązek zwrotu / zniszczenia dotyczy również wszelkich materiałów opracowanych przez Stronę Otrzymującą na podstawie lub z wykorzystaniem Informacji Poufnych.</w:t>
      </w:r>
    </w:p>
    <w:p w14:paraId="5B567ED3" w14:textId="77777777" w:rsidR="006E096C" w:rsidRPr="006E096C" w:rsidRDefault="006E096C" w:rsidP="006E096C">
      <w:pPr>
        <w:jc w:val="center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§ 7. Kara umowna i odpowiedzialność</w:t>
      </w:r>
    </w:p>
    <w:p w14:paraId="204C4995" w14:textId="77777777" w:rsidR="006E096C" w:rsidRPr="006E096C" w:rsidRDefault="006E096C" w:rsidP="006E096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W przypadku naruszenia przez Stronę Otrzymującą któregokolwiek ze zobowiązań wynikających z niniejszej Umowy, Stronie Ujawniającej przysługuje kara umowna w wysokości ……………… PLN (słownie: …………………………………… PLN) za każde pojedyncze, udokumentowane naruszenie, płatna w terminie 14 dni od dnia pisemnego wezwania do zapłaty.</w:t>
      </w:r>
    </w:p>
    <w:p w14:paraId="29AFA64F" w14:textId="77777777" w:rsidR="006E096C" w:rsidRPr="006E096C" w:rsidRDefault="006E096C" w:rsidP="006E096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Strony zgodnie oświadczają, że wysokość zastrzeżonej kary umownej jest w pełni adekwatna do szacowanej wartości Projektu oraz do potencjalnej szkody wynikającej z naruszenia tajemnicy przedsiębiorstwa.</w:t>
      </w:r>
    </w:p>
    <w:p w14:paraId="528BDB9F" w14:textId="77777777" w:rsidR="006E096C" w:rsidRPr="006E096C" w:rsidRDefault="006E096C" w:rsidP="006E096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Suma kar umownych z tytułu niniejszej Umowy nie może przekroczyć kwoty ……………… PLN.</w:t>
      </w:r>
    </w:p>
    <w:p w14:paraId="5A754212" w14:textId="77777777" w:rsidR="006E096C" w:rsidRPr="006E096C" w:rsidRDefault="006E096C" w:rsidP="006E096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lastRenderedPageBreak/>
        <w:t>Każda ze Stron jest uprawniona do dochodzenia odszkodowania przekraczającego wysokość zastrzeżonej kary umownej na zasadach ogólnych, zgodnie z art. 484 § 1 zdanie drugie Kodeksu cywilnego.</w:t>
      </w:r>
    </w:p>
    <w:p w14:paraId="5F74882D" w14:textId="77777777" w:rsidR="006E096C" w:rsidRPr="006E096C" w:rsidRDefault="006E096C" w:rsidP="006E096C">
      <w:pPr>
        <w:jc w:val="center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§ 8. Zakaz aktywnej rekrutacji (opcjonalny)</w:t>
      </w:r>
    </w:p>
    <w:p w14:paraId="149905CF" w14:textId="77777777" w:rsidR="006E096C" w:rsidRPr="006E096C" w:rsidRDefault="006E096C" w:rsidP="006E096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 xml:space="preserve">W okresie obowiązywania Umowy oraz przez ………… miesięcy po jej zakończeniu Strona Otrzymująca zobowiązuje się do niepodejmowania aktywnych działań zmierzających do zatrudnienia lub nakłaniania do nawiązania współpracy (tzw. </w:t>
      </w:r>
      <w:proofErr w:type="spellStart"/>
      <w:r w:rsidRPr="006E096C">
        <w:rPr>
          <w:rFonts w:ascii="Arial" w:hAnsi="Arial" w:cs="Arial"/>
          <w:sz w:val="22"/>
          <w:szCs w:val="22"/>
        </w:rPr>
        <w:t>soliciting</w:t>
      </w:r>
      <w:proofErr w:type="spellEnd"/>
      <w:r w:rsidRPr="006E096C">
        <w:rPr>
          <w:rFonts w:ascii="Arial" w:hAnsi="Arial" w:cs="Arial"/>
          <w:sz w:val="22"/>
          <w:szCs w:val="22"/>
        </w:rPr>
        <w:t>) pracowników lub współpracowników Strony Ujawniającej biorących udział w realizacji Projektu — bez uprzedniej pisemnej zgody Strony Ujawniającej — pod rygorem kary umownej określonej w § 7 ust. 1.</w:t>
      </w:r>
    </w:p>
    <w:p w14:paraId="4D809969" w14:textId="77777777" w:rsidR="006E096C" w:rsidRPr="006E096C" w:rsidRDefault="006E096C" w:rsidP="006E096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Zakaz, o którym mowa powyżej, nie dotyczy sytuacji, w której pracownik lub współpracownik Strony Ujawniającej samodzielnie i z własnej inicjatywy nawiąże kontakt ze Stroną Otrzymującą (np. w odpowiedzi na ogólnodostępne ogłoszenie o pracę).</w:t>
      </w:r>
    </w:p>
    <w:p w14:paraId="598A285C" w14:textId="77777777" w:rsidR="006E096C" w:rsidRPr="006E096C" w:rsidRDefault="006E096C" w:rsidP="006E096C">
      <w:pPr>
        <w:jc w:val="center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§ 9. Postanowienia końcowe</w:t>
      </w:r>
    </w:p>
    <w:p w14:paraId="243B3BBF" w14:textId="77777777" w:rsidR="006E096C" w:rsidRPr="006E096C" w:rsidRDefault="006E096C" w:rsidP="006E096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Umowa podlega prawu polskiemu. Sądem właściwym do rozstrzygania sporów wynikłych z Umowy jest sąd powszechny właściwy dla siedziby Strony Ujawniającej.</w:t>
      </w:r>
    </w:p>
    <w:p w14:paraId="0F6FDE90" w14:textId="77777777" w:rsidR="006E096C" w:rsidRPr="006E096C" w:rsidRDefault="006E096C" w:rsidP="006E096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Wszelkie zmiany i uzupełnienia Umowy wymagają formy pisemnej pod rygorem nieważności.</w:t>
      </w:r>
    </w:p>
    <w:p w14:paraId="51B9FB6D" w14:textId="77777777" w:rsidR="006E096C" w:rsidRPr="006E096C" w:rsidRDefault="006E096C" w:rsidP="006E096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Umowa stanowi całość porozumienia Stron w zakresie poufności i zastępuje wszelkie wcześniejsze ustalenia ustne lub pisemne dotyczące tego zakresu.</w:t>
      </w:r>
    </w:p>
    <w:p w14:paraId="66EF5884" w14:textId="77777777" w:rsidR="006E096C" w:rsidRPr="006E096C" w:rsidRDefault="006E096C" w:rsidP="006E096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Nieskorzystanie przez Stronę Ujawniającą z uprawnień wynikających z Umowy w przypadku konkretnego naruszenia nie stanowi zrzeczenia się tych uprawnień na przyszłość.</w:t>
      </w:r>
    </w:p>
    <w:p w14:paraId="0723AA94" w14:textId="77777777" w:rsidR="006E096C" w:rsidRPr="006E096C" w:rsidRDefault="006E096C" w:rsidP="006E096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W zakresie, w jakim Strona Ujawniająca przekaże Stronie Otrzymującej dane osobowe w rozumieniu Rozporządzenia Parlamentu Europejskiego i Rady (UE) 2016/679 (RODO), Strony zobowiązują się zawrzeć odrębną umowę powierzenia przetwarzania danych osobowych. Niniejsza Umowa nie zastępuje obowiązku wynikającego z art. 28 RODO.</w:t>
      </w:r>
    </w:p>
    <w:p w14:paraId="7E53B572" w14:textId="77777777" w:rsidR="006E096C" w:rsidRPr="006E096C" w:rsidRDefault="006E096C" w:rsidP="006E096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14:paraId="50470EE8" w14:textId="77777777" w:rsidR="006E096C" w:rsidRDefault="006E096C" w:rsidP="006E096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C64D3C4" w14:textId="1AFBFDDF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b/>
          <w:bCs/>
          <w:sz w:val="22"/>
          <w:szCs w:val="22"/>
        </w:rPr>
        <w:t>Podpisy:</w:t>
      </w:r>
    </w:p>
    <w:p w14:paraId="731D020F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pict w14:anchorId="372E2B55">
          <v:rect id="_x0000_i1037" style="width:0;height:1.5pt" o:hralign="center" o:hrstd="t" o:hr="t" fillcolor="#a0a0a0" stroked="f"/>
        </w:pict>
      </w:r>
    </w:p>
    <w:p w14:paraId="3AE4DD08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W imieniu Strony Ujawniającej (podpis, pieczęć, stanowisko)</w:t>
      </w:r>
    </w:p>
    <w:p w14:paraId="79003ED0" w14:textId="77777777" w:rsidR="006E096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pict w14:anchorId="01411C2C">
          <v:rect id="_x0000_i1038" style="width:0;height:1.5pt" o:hralign="center" o:hrstd="t" o:hr="t" fillcolor="#a0a0a0" stroked="f"/>
        </w:pict>
      </w:r>
    </w:p>
    <w:p w14:paraId="6FCA265E" w14:textId="7434E21D" w:rsidR="00A0753C" w:rsidRPr="006E096C" w:rsidRDefault="006E096C" w:rsidP="006E096C">
      <w:pPr>
        <w:jc w:val="both"/>
        <w:rPr>
          <w:rFonts w:ascii="Arial" w:hAnsi="Arial" w:cs="Arial"/>
          <w:sz w:val="22"/>
          <w:szCs w:val="22"/>
        </w:rPr>
      </w:pPr>
      <w:r w:rsidRPr="006E096C">
        <w:rPr>
          <w:rFonts w:ascii="Arial" w:hAnsi="Arial" w:cs="Arial"/>
          <w:sz w:val="22"/>
          <w:szCs w:val="22"/>
        </w:rPr>
        <w:t>W imieniu Strony Otrzymującej (podpis, pieczęć, stanowisko)</w:t>
      </w:r>
    </w:p>
    <w:sectPr w:rsidR="00A0753C" w:rsidRPr="006E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5158"/>
    <w:multiLevelType w:val="multilevel"/>
    <w:tmpl w:val="C252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67299"/>
    <w:multiLevelType w:val="multilevel"/>
    <w:tmpl w:val="59CC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85515"/>
    <w:multiLevelType w:val="multilevel"/>
    <w:tmpl w:val="9BE2B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1EF3878"/>
    <w:multiLevelType w:val="multilevel"/>
    <w:tmpl w:val="26A6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62FC1"/>
    <w:multiLevelType w:val="hybridMultilevel"/>
    <w:tmpl w:val="F2AA1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7532B"/>
    <w:multiLevelType w:val="multilevel"/>
    <w:tmpl w:val="A9B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9E6AB8"/>
    <w:multiLevelType w:val="multilevel"/>
    <w:tmpl w:val="B4C6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326640"/>
    <w:multiLevelType w:val="multilevel"/>
    <w:tmpl w:val="9E466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AF645D"/>
    <w:multiLevelType w:val="multilevel"/>
    <w:tmpl w:val="0032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E01DD6"/>
    <w:multiLevelType w:val="multilevel"/>
    <w:tmpl w:val="84B4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96C19"/>
    <w:multiLevelType w:val="hybridMultilevel"/>
    <w:tmpl w:val="70587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90486">
    <w:abstractNumId w:val="2"/>
  </w:num>
  <w:num w:numId="2" w16cid:durableId="953827136">
    <w:abstractNumId w:val="6"/>
  </w:num>
  <w:num w:numId="3" w16cid:durableId="1104574612">
    <w:abstractNumId w:val="5"/>
  </w:num>
  <w:num w:numId="4" w16cid:durableId="708727363">
    <w:abstractNumId w:val="0"/>
  </w:num>
  <w:num w:numId="5" w16cid:durableId="1192181824">
    <w:abstractNumId w:val="1"/>
  </w:num>
  <w:num w:numId="6" w16cid:durableId="1626349705">
    <w:abstractNumId w:val="3"/>
  </w:num>
  <w:num w:numId="7" w16cid:durableId="1105542180">
    <w:abstractNumId w:val="8"/>
  </w:num>
  <w:num w:numId="8" w16cid:durableId="1761557021">
    <w:abstractNumId w:val="9"/>
  </w:num>
  <w:num w:numId="9" w16cid:durableId="24451801">
    <w:abstractNumId w:val="7"/>
  </w:num>
  <w:num w:numId="10" w16cid:durableId="9183707">
    <w:abstractNumId w:val="4"/>
  </w:num>
  <w:num w:numId="11" w16cid:durableId="154687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8D"/>
    <w:rsid w:val="002E578D"/>
    <w:rsid w:val="006E096C"/>
    <w:rsid w:val="007E299F"/>
    <w:rsid w:val="00A0753C"/>
    <w:rsid w:val="00D23F68"/>
    <w:rsid w:val="00D8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633D"/>
  <w15:chartTrackingRefBased/>
  <w15:docId w15:val="{D69F4E72-510D-4DED-822D-C572CD4A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5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5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5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5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5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5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5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5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5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57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7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7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57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57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57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5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5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5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57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57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57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5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57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5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1566</Words>
  <Characters>9401</Characters>
  <Application>Microsoft Office Word</Application>
  <DocSecurity>0</DocSecurity>
  <Lines>78</Lines>
  <Paragraphs>21</Paragraphs>
  <ScaleCrop>false</ScaleCrop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Piotrowski</dc:creator>
  <cp:keywords/>
  <dc:description/>
  <cp:lastModifiedBy>Adam Piotrowski</cp:lastModifiedBy>
  <cp:revision>2</cp:revision>
  <dcterms:created xsi:type="dcterms:W3CDTF">2026-02-27T23:06:00Z</dcterms:created>
  <dcterms:modified xsi:type="dcterms:W3CDTF">2026-02-27T23:13:00Z</dcterms:modified>
</cp:coreProperties>
</file>