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4536D" w:rsidRDefault="00D4536D">
      <w:pPr>
        <w:spacing w:after="120" w:line="276" w:lineRule="auto"/>
        <w:jc w:val="both"/>
      </w:pPr>
    </w:p>
    <w:p w14:paraId="00000002" w14:textId="77777777" w:rsidR="00D4536D" w:rsidRDefault="00000000">
      <w:pPr>
        <w:spacing w:after="60" w:line="276" w:lineRule="auto"/>
        <w:jc w:val="center"/>
      </w:pPr>
      <w:r>
        <w:rPr>
          <w:b/>
          <w:bCs/>
          <w:color w:val="1F3864"/>
          <w:sz w:val="36"/>
          <w:szCs w:val="36"/>
        </w:rPr>
        <w:t>Komentarz prawny</w:t>
      </w:r>
    </w:p>
    <w:p w14:paraId="00000003" w14:textId="77777777" w:rsidR="00D4536D" w:rsidRDefault="00000000">
      <w:pPr>
        <w:spacing w:after="200" w:line="276" w:lineRule="auto"/>
        <w:jc w:val="center"/>
      </w:pPr>
      <w:r>
        <w:rPr>
          <w:color w:val="666666"/>
          <w:sz w:val="26"/>
          <w:szCs w:val="26"/>
        </w:rPr>
        <w:t>do Umowy Ramowej Body Leasing IT (B2B)</w:t>
      </w:r>
    </w:p>
    <w:p w14:paraId="00000004" w14:textId="77777777" w:rsidR="00D4536D" w:rsidRDefault="00000000">
      <w:pPr>
        <w:pStyle w:val="Nagwek3"/>
      </w:pPr>
      <w:r>
        <w:t>Opis i uzasadnienie każdego postanowienia</w:t>
      </w:r>
    </w:p>
    <w:p w14:paraId="00000005" w14:textId="77777777" w:rsidR="00D4536D" w:rsidRDefault="00000000">
      <w:pPr>
        <w:spacing w:after="140" w:line="276" w:lineRule="auto"/>
        <w:jc w:val="both"/>
      </w:pPr>
      <w:r>
        <w:rPr>
          <w:b/>
          <w:bCs/>
        </w:rPr>
        <w:t xml:space="preserve">Dla kogo jest ten komentarz? </w:t>
      </w:r>
      <w:r>
        <w:t xml:space="preserve">Dla obu Stron umowy- zarówno Usługodawcy, jak i Usługobiorcy, którzy chcą rozumieć nie tylko </w:t>
      </w:r>
      <w:r>
        <w:rPr>
          <w:b/>
          <w:bCs/>
        </w:rPr>
        <w:t>co</w:t>
      </w:r>
      <w:r>
        <w:t xml:space="preserve"> podpisują, ale </w:t>
      </w:r>
      <w:r>
        <w:rPr>
          <w:b/>
          <w:bCs/>
        </w:rPr>
        <w:t>dlaczego</w:t>
      </w:r>
      <w:r>
        <w:t xml:space="preserve"> dane postanowienie zostało sformułowane w taki, a nie inny sposób.</w:t>
      </w:r>
    </w:p>
    <w:p w14:paraId="00000006" w14:textId="77777777" w:rsidR="00D4536D" w:rsidRDefault="00000000">
      <w:pPr>
        <w:pStyle w:val="Nagwek2"/>
        <w:pBdr>
          <w:bottom w:val="single" w:sz="4" w:space="6" w:color="2E75B6"/>
        </w:pBdr>
      </w:pPr>
      <w:r>
        <w:t>Oświadczenia stron (Preambuła)</w:t>
      </w:r>
    </w:p>
    <w:p w14:paraId="00000007" w14:textId="77777777" w:rsidR="00D4536D" w:rsidRDefault="00000000">
      <w:pPr>
        <w:pStyle w:val="Nagwek3"/>
      </w:pPr>
      <w:r>
        <w:t>Cel i znaczenie</w:t>
      </w:r>
    </w:p>
    <w:p w14:paraId="00000008" w14:textId="77777777" w:rsidR="00D4536D" w:rsidRDefault="00000000">
      <w:pPr>
        <w:spacing w:after="140" w:line="276" w:lineRule="auto"/>
        <w:jc w:val="both"/>
      </w:pPr>
      <w:r>
        <w:t>Postanowienie, które bardzo często występuje w tego typu umowach, ma ułatwić interpretację umowy oraz ustalenie wspólnego zamiaru stron.</w:t>
      </w:r>
    </w:p>
    <w:p w14:paraId="00000009" w14:textId="77777777" w:rsidR="00D4536D" w:rsidRPr="00C32300" w:rsidRDefault="00000000">
      <w:pPr>
        <w:shd w:val="clear" w:color="auto" w:fill="FFF9E6"/>
        <w:spacing w:after="140" w:line="276" w:lineRule="auto"/>
        <w:jc w:val="both"/>
      </w:pPr>
      <w:r w:rsidRPr="00C32300">
        <w:rPr>
          <w:b/>
          <w:bCs/>
        </w:rPr>
        <w:t xml:space="preserve">Punkt (i) Przedmiot obrotu to świadczenie usług, nie pracownicy: </w:t>
      </w:r>
      <w:r w:rsidRPr="00C32300">
        <w:t>sformułowanie, że przedmiotem umowy jest „świadczenie określonych czynności prawnych i faktycznych” bezpośrednio nawiązuje do linii orzeczniczej Sądu Najwyższego (wyrok II UK 488/16), który wskazał tę cechę jako element odróżniający body leasing od niedozwolonego pośrednictwa pracy. Postanowienie ma chronić Usługodawcę przed zarzutem prowadzenia agencji zatrudnienia bez wpisu do rejestru.</w:t>
      </w:r>
    </w:p>
    <w:p w14:paraId="0000000A" w14:textId="77777777" w:rsidR="00D4536D" w:rsidRDefault="00000000">
      <w:pPr>
        <w:spacing w:after="140" w:line="276" w:lineRule="auto"/>
        <w:jc w:val="both"/>
      </w:pPr>
      <w:r>
        <w:rPr>
          <w:b/>
          <w:bCs/>
        </w:rPr>
        <w:t xml:space="preserve">Punkt (ii) Wyłączenie stosowania Kodeksu pracy: </w:t>
      </w:r>
      <w:r>
        <w:t xml:space="preserve">Wprost wyklucza możliwość powoływania się przez Specjalistę lub organy kontrolne (PIP, ZUS) na przepisy Kodeksu pracy jako podstawę roszczeń z tytułu tej konkretnej umowy. Warto pamiętać, że samo wyłączenie KP w treści umowy nie jest absolutnie skuteczne — jeżeli faktyczny charakter współpracy odpowiada stosunkowi pracy, sąd i tak może zastosować art. 22 § 1 KP. Dlatego tak ważne jest, żeby zapisy preambuły </w:t>
      </w:r>
      <w:r>
        <w:rPr>
          <w:rFonts w:ascii="Roboto" w:eastAsia="Roboto" w:hAnsi="Roboto" w:cs="Roboto"/>
          <w:color w:val="444746"/>
          <w:sz w:val="21"/>
          <w:szCs w:val="21"/>
          <w:highlight w:val="white"/>
        </w:rPr>
        <w:t xml:space="preserve">stosowane przez Strony umowy. </w:t>
      </w:r>
    </w:p>
    <w:p w14:paraId="0000000B" w14:textId="77777777" w:rsidR="00D4536D" w:rsidRDefault="00000000">
      <w:pPr>
        <w:spacing w:after="140" w:line="276" w:lineRule="auto"/>
        <w:jc w:val="both"/>
      </w:pPr>
      <w:r>
        <w:rPr>
          <w:b/>
          <w:bCs/>
        </w:rPr>
        <w:t xml:space="preserve">Punkt (iii) Potwierdzenie niezależności Specjalisty B2B: </w:t>
      </w:r>
      <w:r>
        <w:t>Chroni przed zarzutem, że Specjalista jest „ukrytym pracownikiem”. Samodzielność metodyczna i narzędziowa to jeden z kluczowych elementów odróżniających B2B od stosunku pracy.</w:t>
      </w:r>
    </w:p>
    <w:p w14:paraId="0000000C" w14:textId="77777777" w:rsidR="00D4536D" w:rsidRDefault="00000000">
      <w:pPr>
        <w:pStyle w:val="Nagwek2"/>
        <w:pBdr>
          <w:bottom w:val="single" w:sz="4" w:space="6" w:color="2E75B6"/>
        </w:pBdr>
      </w:pPr>
      <w:r>
        <w:t>§ 1. DEFINICJE</w:t>
      </w:r>
    </w:p>
    <w:p w14:paraId="0000000D" w14:textId="77777777" w:rsidR="00D4536D" w:rsidRDefault="00000000">
      <w:pPr>
        <w:pStyle w:val="Nagwek3"/>
      </w:pPr>
      <w:r>
        <w:t>Cel i znaczenie</w:t>
      </w:r>
    </w:p>
    <w:p w14:paraId="0000000E" w14:textId="77777777" w:rsidR="00D4536D" w:rsidRDefault="00000000">
      <w:pPr>
        <w:spacing w:after="140" w:line="276" w:lineRule="auto"/>
        <w:jc w:val="both"/>
      </w:pPr>
      <w:r>
        <w:t>Słownik pojęć umownych to bardzo przydatne narzędzie we wszystkich umowach B2B (nie tylko IT). Eliminuje ryzyko rozbieżnych interpretacji przez Strony w trakcie realizacji lub sporu.</w:t>
      </w:r>
    </w:p>
    <w:p w14:paraId="0000000F" w14:textId="77777777" w:rsidR="00D4536D" w:rsidRDefault="00000000">
      <w:pPr>
        <w:spacing w:after="140" w:line="276" w:lineRule="auto"/>
        <w:jc w:val="both"/>
      </w:pPr>
      <w:r>
        <w:rPr>
          <w:b/>
          <w:bCs/>
        </w:rPr>
        <w:t>„Specjalista”</w:t>
      </w:r>
      <w:r>
        <w:t xml:space="preserve">- definicja celowo wskazuje, że Specjalista współpracuje z Usługodawcą i wyklucza wątpliwości, czy np. kontraktor B2B Usługodawcy może być delegowany. Dodano wyraźne zastrzeżenie, że Specjalista </w:t>
      </w:r>
      <w:r>
        <w:rPr>
          <w:b/>
          <w:bCs/>
        </w:rPr>
        <w:t>nie jest pracownikiem Usługobiorcy</w:t>
      </w:r>
      <w:r>
        <w:t>, które chroni Usługobiorcę przed roszczeniami Specjalisty z tytułu stosunku pracy wobec niego.</w:t>
      </w:r>
    </w:p>
    <w:p w14:paraId="00000010" w14:textId="77777777" w:rsidR="00D4536D" w:rsidRDefault="00000000">
      <w:pPr>
        <w:spacing w:after="140" w:line="276" w:lineRule="auto"/>
        <w:jc w:val="both"/>
      </w:pPr>
      <w:r>
        <w:rPr>
          <w:b/>
          <w:bCs/>
        </w:rPr>
        <w:t>„Zamówienie”</w:t>
      </w:r>
      <w:r>
        <w:t>- odesłanie do wzoru (Załącznik nr 1) gwarantuje spójność dokumentacji. Zamówienie jest kluczowym dokumentem, ponieważ konkretyzuje prawa i obowiązki Stron w odniesieniu do każdego projektu.</w:t>
      </w:r>
    </w:p>
    <w:p w14:paraId="00000011" w14:textId="77777777" w:rsidR="00D4536D" w:rsidRDefault="00000000">
      <w:pPr>
        <w:spacing w:after="140" w:line="276" w:lineRule="auto"/>
        <w:jc w:val="both"/>
      </w:pPr>
      <w:r>
        <w:rPr>
          <w:b/>
          <w:bCs/>
        </w:rPr>
        <w:lastRenderedPageBreak/>
        <w:t>„</w:t>
      </w:r>
      <w:proofErr w:type="spellStart"/>
      <w:r>
        <w:rPr>
          <w:b/>
          <w:bCs/>
        </w:rPr>
        <w:t>Timesheet</w:t>
      </w:r>
      <w:proofErr w:type="spellEnd"/>
      <w:r>
        <w:rPr>
          <w:b/>
          <w:bCs/>
        </w:rPr>
        <w:t>”</w:t>
      </w:r>
      <w:r>
        <w:t xml:space="preserve">- definicja </w:t>
      </w:r>
      <w:proofErr w:type="spellStart"/>
      <w:r>
        <w:t>Timesheetu</w:t>
      </w:r>
      <w:proofErr w:type="spellEnd"/>
      <w:r>
        <w:t xml:space="preserve"> jako dokumentu </w:t>
      </w:r>
      <w:r>
        <w:rPr>
          <w:b/>
          <w:bCs/>
        </w:rPr>
        <w:t>zatwierdzanego przez obie Strony</w:t>
      </w:r>
      <w:r>
        <w:t xml:space="preserve"> eliminuje ryzyko jednostronnego kwestionowania przepracowanych godzin. W praktyce brak podpisanego </w:t>
      </w:r>
      <w:proofErr w:type="spellStart"/>
      <w:r>
        <w:t>Timesheetu</w:t>
      </w:r>
      <w:proofErr w:type="spellEnd"/>
      <w:r>
        <w:t xml:space="preserve"> jest najczęstszą przyczyną sporów o wynagrodzenie.</w:t>
      </w:r>
    </w:p>
    <w:p w14:paraId="00000012" w14:textId="77777777" w:rsidR="00D4536D" w:rsidRDefault="00000000">
      <w:pPr>
        <w:spacing w:after="140" w:line="276" w:lineRule="auto"/>
        <w:jc w:val="both"/>
      </w:pPr>
      <w:r>
        <w:rPr>
          <w:b/>
          <w:bCs/>
        </w:rPr>
        <w:t>„Utwór”</w:t>
      </w:r>
      <w:r>
        <w:t xml:space="preserve">- definicja celowo odsyła do ustawy o prawie autorskim. Ten zabieg pozwala na uniknięcie konieczności wyliczania wszystkich możliwych typów rezultatów pracy. </w:t>
      </w:r>
      <w:r>
        <w:rPr>
          <w:shd w:val="clear" w:color="auto" w:fill="C9DAF8"/>
        </w:rPr>
        <w:t>Cokolwiek spełni ustawowe przesłanki „utworu”, jest objęte definicją.</w:t>
      </w:r>
      <w:r>
        <w:t xml:space="preserve"> W przypadku wartościowych projektów zakres utworu można doprecyzować.</w:t>
      </w:r>
    </w:p>
    <w:p w14:paraId="00000013" w14:textId="77777777" w:rsidR="00D4536D" w:rsidRDefault="00000000">
      <w:pPr>
        <w:spacing w:after="140" w:line="276" w:lineRule="auto"/>
        <w:jc w:val="both"/>
      </w:pPr>
      <w:r>
        <w:rPr>
          <w:b/>
          <w:bCs/>
        </w:rPr>
        <w:t>„Informacje Poufne”</w:t>
      </w:r>
      <w:r>
        <w:t xml:space="preserve">- definicja celowo jest szeroka i obejmuje dane przekazane </w:t>
      </w:r>
      <w:r>
        <w:rPr>
          <w:b/>
          <w:bCs/>
        </w:rPr>
        <w:t>w jakiejkolwiek formie</w:t>
      </w:r>
      <w:r>
        <w:t>- pisemnej, ustnej i elektronicznej. Ochrona tajemnicy przedsiębiorstwa jest niezwykle istotna, zwłaszcza w branży IT, gdzie znaczna część know-how przekazywana jest ustnie podczas spotkań technicznych.</w:t>
      </w:r>
    </w:p>
    <w:p w14:paraId="00000014" w14:textId="77777777" w:rsidR="00D4536D" w:rsidRDefault="00000000">
      <w:pPr>
        <w:pStyle w:val="Nagwek2"/>
        <w:pBdr>
          <w:bottom w:val="single" w:sz="4" w:space="6" w:color="2E75B6"/>
        </w:pBdr>
      </w:pPr>
      <w:r>
        <w:t>§ 2. PRZEDMIOT UMOWY I PROCEDURA ZAMAWIANIA</w:t>
      </w:r>
    </w:p>
    <w:p w14:paraId="00000015" w14:textId="77777777" w:rsidR="00D4536D" w:rsidRDefault="00000000">
      <w:pPr>
        <w:pStyle w:val="Nagwek3"/>
      </w:pPr>
      <w:r>
        <w:t>Cel i znaczenie</w:t>
      </w:r>
    </w:p>
    <w:p w14:paraId="00000016" w14:textId="77777777" w:rsidR="00D4536D" w:rsidRDefault="00000000">
      <w:pPr>
        <w:spacing w:after="140" w:line="276" w:lineRule="auto"/>
        <w:jc w:val="both"/>
      </w:pPr>
      <w:r>
        <w:rPr>
          <w:b/>
          <w:bCs/>
        </w:rPr>
        <w:t xml:space="preserve">Ust. 1 Ogólny przedmiot: </w:t>
      </w:r>
      <w:r>
        <w:t xml:space="preserve">Wskazuje, że Usługodawca zobowiązuje się do </w:t>
      </w:r>
      <w:r>
        <w:rPr>
          <w:b/>
          <w:bCs/>
        </w:rPr>
        <w:t>zapewnienia Specjalistów i świadczenia usług za ich pośrednictwem</w:t>
      </w:r>
      <w:r>
        <w:t>, nie zaś do dostarczenia określonego produktu lub rezultatu.</w:t>
      </w:r>
    </w:p>
    <w:p w14:paraId="00000017" w14:textId="77777777" w:rsidR="00D4536D" w:rsidRDefault="00000000">
      <w:pPr>
        <w:spacing w:after="140" w:line="276" w:lineRule="auto"/>
        <w:jc w:val="both"/>
      </w:pPr>
      <w:r>
        <w:t>Rozróżnienie ma przesądzać o charakterze prawnym umowy jako umowy starannego działania (jak zlecenie), a nie umowy rezultatu (jak dzieło). Usługodawca nie odpowiada za to, co Specjalista wytworzył, lecz za to, czy był kompetentny i staranny.</w:t>
      </w:r>
    </w:p>
    <w:p w14:paraId="00000018" w14:textId="77777777" w:rsidR="00D4536D" w:rsidRDefault="00000000">
      <w:pPr>
        <w:pStyle w:val="Nagwek2"/>
        <w:pBdr>
          <w:bottom w:val="single" w:sz="4" w:space="6" w:color="2E75B6"/>
        </w:pBdr>
      </w:pPr>
      <w:r>
        <w:t>§ 3. ZASADY ŚWIADCZENIA USŁUG I ZASTĘPSTWA</w:t>
      </w:r>
    </w:p>
    <w:p w14:paraId="00000019" w14:textId="77777777" w:rsidR="00D4536D" w:rsidRDefault="00000000">
      <w:pPr>
        <w:pStyle w:val="Nagwek3"/>
      </w:pPr>
      <w:r>
        <w:t>Cel i znaczenie</w:t>
      </w:r>
    </w:p>
    <w:p w14:paraId="0000001A" w14:textId="77777777" w:rsidR="00D4536D" w:rsidRDefault="00000000">
      <w:pPr>
        <w:spacing w:after="140" w:line="276" w:lineRule="auto"/>
        <w:jc w:val="both"/>
      </w:pPr>
      <w:r>
        <w:rPr>
          <w:b/>
          <w:bCs/>
        </w:rPr>
        <w:t xml:space="preserve">Ust. 2 Autonomia Specjalisty: </w:t>
      </w:r>
      <w:r>
        <w:t xml:space="preserve">To jeden z </w:t>
      </w:r>
      <w:r>
        <w:rPr>
          <w:b/>
          <w:bCs/>
        </w:rPr>
        <w:t>najważniejszych zapisów całej umowy</w:t>
      </w:r>
      <w:r>
        <w:t xml:space="preserve"> z punktu widzenia ryzyka przekwalifikowania na stosunek pracy. Przepis ten wprost wskazuje, że choć Usługobiorca może wskazywać priorytety i harmonogram zadań, Specjalista </w:t>
      </w:r>
      <w:r>
        <w:rPr>
          <w:b/>
          <w:bCs/>
        </w:rPr>
        <w:t>zachowuje autonomię w doborze metod i narzędzi</w:t>
      </w:r>
      <w:r>
        <w:t xml:space="preserve"> i nie podlega kierownictwu Usługobiorcy w rozumieniu art. 22 § 1 KP.</w:t>
      </w:r>
    </w:p>
    <w:p w14:paraId="0000001B" w14:textId="77777777" w:rsidR="00D4536D" w:rsidRDefault="00000000">
      <w:pPr>
        <w:shd w:val="clear" w:color="auto" w:fill="FFF3CD"/>
        <w:spacing w:before="80" w:after="140" w:line="276" w:lineRule="auto"/>
        <w:jc w:val="both"/>
      </w:pPr>
      <w:r>
        <w:rPr>
          <w:b/>
          <w:bCs/>
        </w:rPr>
        <w:t xml:space="preserve">Uwaga: </w:t>
      </w:r>
      <w:r>
        <w:t>Ten zapis musi być respektowany w praktyce. Jeśli Specjalista faktycznie wykonuje polecenia jak pracownik etatowy (wyznaczone godziny, brak swobody metodycznej, stałe miejsce pracy narzucone przez Usługobiorcę), ZUS lub PIP mogą zignorować treść umowy i przekwalifikować relację na stosunek pracy, zgodnie z zasadą wyrażoną w art. 22 § 1¹ KP.</w:t>
      </w:r>
    </w:p>
    <w:p w14:paraId="0000001C" w14:textId="77777777" w:rsidR="00D4536D" w:rsidRDefault="00000000">
      <w:pPr>
        <w:spacing w:after="140" w:line="276" w:lineRule="auto"/>
        <w:jc w:val="both"/>
      </w:pPr>
      <w:r>
        <w:rPr>
          <w:b/>
          <w:bCs/>
        </w:rPr>
        <w:t xml:space="preserve">Ust. 4 Zastępstwo i </w:t>
      </w:r>
      <w:proofErr w:type="spellStart"/>
      <w:r>
        <w:rPr>
          <w:b/>
          <w:bCs/>
        </w:rPr>
        <w:t>knowledge</w:t>
      </w:r>
      <w:proofErr w:type="spellEnd"/>
      <w:r>
        <w:rPr>
          <w:b/>
          <w:bCs/>
        </w:rPr>
        <w:t xml:space="preserve"> transfer: </w:t>
      </w:r>
      <w:r>
        <w:t xml:space="preserve">Reguluje jedną z najczęstszych sytuacji spornych, tj. co się dzieje, gdy Specjalista jest nieobecny. Wyraźne wskazanie, że czas przekazania obowiązków </w:t>
      </w:r>
      <w:r>
        <w:rPr>
          <w:b/>
          <w:bCs/>
        </w:rPr>
        <w:t>nie jest rozliczany</w:t>
      </w:r>
      <w:r>
        <w:t xml:space="preserve"> chroni Usługobiorcę przed płaceniem za czas, w którym faktycznie żadna usługa nie była świadczona.</w:t>
      </w:r>
    </w:p>
    <w:p w14:paraId="0000001D" w14:textId="77777777" w:rsidR="00D4536D" w:rsidRDefault="00000000">
      <w:pPr>
        <w:spacing w:after="140" w:line="276" w:lineRule="auto"/>
        <w:jc w:val="both"/>
      </w:pPr>
      <w:r>
        <w:rPr>
          <w:b/>
          <w:bCs/>
        </w:rPr>
        <w:t xml:space="preserve">Ust. 5 Zmiana Specjalisty na żądanie: </w:t>
      </w:r>
      <w:r>
        <w:t>Usługobiorca ma prawo żądać zmiany Specjalisty, ale musi to być uzasadnione „nienależytym wykonywaniem zadań, brakiem kompetencji lub naruszeniem poufności”. Brak katalogu przesłanek mógłby prowadzić do nadużyć (np. żądanie zmiany bez powodu, co de facto daje Usługobiorcy prawo do jednostronnego wypowiedzenia poszczególnych Zamówień).</w:t>
      </w:r>
    </w:p>
    <w:p w14:paraId="0000001E" w14:textId="77777777" w:rsidR="00D4536D" w:rsidRDefault="00000000">
      <w:pPr>
        <w:pStyle w:val="Nagwek2"/>
        <w:pBdr>
          <w:bottom w:val="single" w:sz="4" w:space="6" w:color="2E75B6"/>
        </w:pBdr>
      </w:pPr>
      <w:r>
        <w:lastRenderedPageBreak/>
        <w:t>§ 4. WYNAGRODZENIE I ROZLICZENIA</w:t>
      </w:r>
    </w:p>
    <w:p w14:paraId="0000001F" w14:textId="77777777" w:rsidR="00D4536D" w:rsidRDefault="00000000">
      <w:pPr>
        <w:pStyle w:val="Nagwek3"/>
      </w:pPr>
      <w:r>
        <w:t>Cel i znaczenie</w:t>
      </w:r>
    </w:p>
    <w:p w14:paraId="00000020" w14:textId="77777777" w:rsidR="00D4536D" w:rsidRDefault="00000000">
      <w:pPr>
        <w:spacing w:after="140" w:line="276" w:lineRule="auto"/>
        <w:jc w:val="both"/>
      </w:pPr>
      <w:r>
        <w:rPr>
          <w:b/>
          <w:bCs/>
        </w:rPr>
        <w:t xml:space="preserve">Ust. 1 Model Time &amp; </w:t>
      </w:r>
      <w:proofErr w:type="spellStart"/>
      <w:r>
        <w:rPr>
          <w:b/>
          <w:bCs/>
        </w:rPr>
        <w:t>Material</w:t>
      </w:r>
      <w:proofErr w:type="spellEnd"/>
      <w:r>
        <w:rPr>
          <w:b/>
          <w:bCs/>
        </w:rPr>
        <w:t xml:space="preserve">: </w:t>
      </w:r>
      <w:r>
        <w:t>Model T&amp;M jest najbezpieczniejszy dla Usługodawcy przy body leasingu, ponieważ wynagrodzenie jest wprost proporcjonalne do faktycznego nakładu pracy, a nie do osiągniętego rezultatu.</w:t>
      </w:r>
    </w:p>
    <w:p w14:paraId="00000021" w14:textId="77777777" w:rsidR="00D4536D" w:rsidRDefault="00000000">
      <w:pPr>
        <w:spacing w:after="140" w:line="276" w:lineRule="auto"/>
        <w:jc w:val="both"/>
      </w:pPr>
      <w:r>
        <w:rPr>
          <w:b/>
          <w:bCs/>
        </w:rPr>
        <w:t xml:space="preserve">Ust. 2 Domniemanie akceptacji </w:t>
      </w:r>
      <w:proofErr w:type="spellStart"/>
      <w:r>
        <w:rPr>
          <w:b/>
          <w:bCs/>
        </w:rPr>
        <w:t>Timesheetu</w:t>
      </w:r>
      <w:proofErr w:type="spellEnd"/>
      <w:r>
        <w:rPr>
          <w:b/>
          <w:bCs/>
        </w:rPr>
        <w:t xml:space="preserve">: </w:t>
      </w:r>
      <w:r>
        <w:t xml:space="preserve">Zapis, że brak zastrzeżeń Usługobiorcy w ciągu 5 Dni Roboczych od przedłożenia </w:t>
      </w:r>
      <w:proofErr w:type="spellStart"/>
      <w:r>
        <w:t>Timesheetu</w:t>
      </w:r>
      <w:proofErr w:type="spellEnd"/>
      <w:r>
        <w:t xml:space="preserve"> oznacza akceptację eliminuje sytuację, w której Usługobiorca celowo lub przez zaniedbanie nie zatwierdza </w:t>
      </w:r>
      <w:proofErr w:type="spellStart"/>
      <w:r>
        <w:t>Timesheetu</w:t>
      </w:r>
      <w:proofErr w:type="spellEnd"/>
      <w:r>
        <w:t>, blokując w ten sposób wystawienie faktury i wynagrodzenie Usługodawcy. Jest to mechanizm znany z obrotu profesjonalnego, podobny do domniemań przyjętych w prawie budowlanym przy odbiorze robót.</w:t>
      </w:r>
    </w:p>
    <w:p w14:paraId="00000022" w14:textId="77777777" w:rsidR="00D4536D" w:rsidRDefault="00000000">
      <w:pPr>
        <w:pStyle w:val="Nagwek2"/>
        <w:pBdr>
          <w:bottom w:val="single" w:sz="4" w:space="6" w:color="2E75B6"/>
        </w:pBdr>
      </w:pPr>
      <w:r>
        <w:t>§ 5. PRAWA WŁASNOŚCI INTELEKTUALNEJ</w:t>
      </w:r>
    </w:p>
    <w:p w14:paraId="00000023" w14:textId="77777777" w:rsidR="00D4536D" w:rsidRDefault="00000000">
      <w:pPr>
        <w:pStyle w:val="Nagwek3"/>
      </w:pPr>
      <w:r>
        <w:t>Cel i znaczenie</w:t>
      </w:r>
    </w:p>
    <w:p w14:paraId="00000024" w14:textId="77777777" w:rsidR="00D4536D" w:rsidRPr="00C32300" w:rsidRDefault="00000000">
      <w:pPr>
        <w:spacing w:after="140" w:line="276" w:lineRule="auto"/>
        <w:jc w:val="both"/>
      </w:pPr>
      <w:r>
        <w:rPr>
          <w:b/>
          <w:bCs/>
        </w:rPr>
        <w:t xml:space="preserve">Ust. 1 Przeniesienie praw z chwilą akceptacji </w:t>
      </w:r>
      <w:proofErr w:type="spellStart"/>
      <w:r>
        <w:rPr>
          <w:b/>
          <w:bCs/>
        </w:rPr>
        <w:t>Timesheetu</w:t>
      </w:r>
      <w:proofErr w:type="spellEnd"/>
      <w:r>
        <w:rPr>
          <w:b/>
          <w:bCs/>
        </w:rPr>
        <w:t xml:space="preserve">: </w:t>
      </w:r>
      <w:r>
        <w:t xml:space="preserve">Moment przeniesienia praw autorskich jest istotny. Zbyt wczesne przeniesienie (np. „z chwilą stworzenia”) może być trudne do udowodnienia, a zbyt późne (np. „z chwilą zapłaty”) naraża Usługobiorcę na ryzyko, że korzysta z Utworów, których właścicielem formalnie jeszcze nie jest. Akceptacja </w:t>
      </w:r>
      <w:proofErr w:type="spellStart"/>
      <w:r>
        <w:t>Timesheetu</w:t>
      </w:r>
      <w:proofErr w:type="spellEnd"/>
      <w:r>
        <w:t xml:space="preserve"> to </w:t>
      </w:r>
      <w:r w:rsidRPr="00C32300">
        <w:t>moment jasny, udokumentowany i powiązany z rozliczeniem wynagrodzenia.</w:t>
      </w:r>
    </w:p>
    <w:p w14:paraId="00000025" w14:textId="77777777" w:rsidR="00D4536D" w:rsidRDefault="00000000">
      <w:pPr>
        <w:spacing w:after="140" w:line="276" w:lineRule="auto"/>
        <w:jc w:val="both"/>
      </w:pPr>
      <w:r w:rsidRPr="00C32300">
        <w:rPr>
          <w:b/>
          <w:bCs/>
        </w:rPr>
        <w:t xml:space="preserve">Ust. 1 pkt a–e Pola eksploatacji: </w:t>
      </w:r>
      <w:r w:rsidRPr="00C32300">
        <w:t xml:space="preserve">Polska ustawa o prawie autorskim </w:t>
      </w:r>
      <w:r w:rsidRPr="00C32300">
        <w:rPr>
          <w:shd w:val="clear" w:color="auto" w:fill="C9DAF8"/>
        </w:rPr>
        <w:t>i prawach pokrewnych</w:t>
      </w:r>
      <w:r w:rsidRPr="00C32300">
        <w:t xml:space="preserve"> wymaga </w:t>
      </w:r>
      <w:r w:rsidRPr="00C32300">
        <w:rPr>
          <w:b/>
          <w:bCs/>
        </w:rPr>
        <w:t>wyraźnego wskazania pól eksploatacji</w:t>
      </w:r>
      <w:r w:rsidRPr="00C32300">
        <w:t xml:space="preserve">. Przeniesienie „wszelkich praw” bez ich wyliczenia jest nieskuteczne (art. 41 ust. 2 ustawy). Katalog pól eksploatacji </w:t>
      </w:r>
      <w:r w:rsidRPr="00C32300">
        <w:rPr>
          <w:shd w:val="clear" w:color="auto" w:fill="C9DAF8"/>
        </w:rPr>
        <w:t>zawartych w umowie</w:t>
      </w:r>
      <w:r w:rsidRPr="00C32300">
        <w:t xml:space="preserve"> obejmuje wszystkie typowe sposoby korzystania z oprogramowania i dokumentacji IT.</w:t>
      </w:r>
    </w:p>
    <w:p w14:paraId="00000026" w14:textId="77777777" w:rsidR="00D4536D" w:rsidRDefault="00000000">
      <w:pPr>
        <w:spacing w:after="140" w:line="276" w:lineRule="auto"/>
        <w:jc w:val="both"/>
      </w:pPr>
      <w:r>
        <w:rPr>
          <w:b/>
          <w:bCs/>
        </w:rPr>
        <w:t xml:space="preserve">Ust. 2 Prawa zależne: </w:t>
      </w:r>
      <w:r>
        <w:t>Przeniesienie praw do Utworu bez prawa do wykonywania zależnych praw autorskich (modyfikacje, adaptacje) byłoby w praktyce bezużyteczne. Usługobiorca mógłby korzystać z oprogramowania, ale nie mógłby go rozwijać ani zlecać modyfikacji osobom trzecim.</w:t>
      </w:r>
    </w:p>
    <w:p w14:paraId="00000027" w14:textId="77777777" w:rsidR="00D4536D" w:rsidRDefault="00000000">
      <w:pPr>
        <w:spacing w:after="140" w:line="276" w:lineRule="auto"/>
        <w:jc w:val="both"/>
      </w:pPr>
      <w:r>
        <w:rPr>
          <w:b/>
          <w:bCs/>
        </w:rPr>
        <w:t xml:space="preserve">Ust. 3 Gwarancja łańcucha praw: </w:t>
      </w:r>
      <w:r>
        <w:t xml:space="preserve">Usługodawca </w:t>
      </w:r>
      <w:r>
        <w:rPr>
          <w:b/>
          <w:bCs/>
        </w:rPr>
        <w:t>gwarantuje</w:t>
      </w:r>
      <w:r>
        <w:t xml:space="preserve">, że zawarł ze Specjalistami umowy zapewniające skuteczne przeniesienie praw. Brak tej gwarancji </w:t>
      </w:r>
      <w:r>
        <w:rPr>
          <w:rFonts w:ascii="Roboto" w:eastAsia="Roboto" w:hAnsi="Roboto" w:cs="Roboto"/>
          <w:color w:val="444746"/>
          <w:sz w:val="21"/>
          <w:szCs w:val="21"/>
        </w:rPr>
        <w:t>oznaczałby ryzyko zaistnienia sytuacji, w której Usługobiorca nie może skutecznie nabyć praw autorskich od Usługodawcy, który nie posiada prawa do rozporządzania Utworami wytworzonymi przez Specjalistów.</w:t>
      </w:r>
    </w:p>
    <w:p w14:paraId="00000028" w14:textId="77777777" w:rsidR="00D4536D" w:rsidRDefault="00000000">
      <w:pPr>
        <w:spacing w:after="140" w:line="276" w:lineRule="auto"/>
        <w:jc w:val="both"/>
      </w:pPr>
      <w:r>
        <w:rPr>
          <w:b/>
          <w:bCs/>
        </w:rPr>
        <w:t xml:space="preserve">Ust. 4 Gwarancja czystości IP: </w:t>
      </w:r>
      <w:r>
        <w:t xml:space="preserve">Ochrona przed sytuacją, w której Specjalista wniósł do Utworu elementy objęte prawami osoby trzeciej (np. fragment biblioteki open </w:t>
      </w:r>
      <w:proofErr w:type="spellStart"/>
      <w:r>
        <w:t>source</w:t>
      </w:r>
      <w:proofErr w:type="spellEnd"/>
      <w:r>
        <w:t xml:space="preserve"> na restrykcyjnej licencji). Umowa przewiduje, że w takiej sytuacji Usługodawca ponosi pełną odpowiedzialność odszkodowawczą.</w:t>
      </w:r>
    </w:p>
    <w:p w14:paraId="00000029" w14:textId="77777777" w:rsidR="00D4536D" w:rsidRDefault="00000000">
      <w:pPr>
        <w:pStyle w:val="Nagwek2"/>
        <w:pBdr>
          <w:bottom w:val="single" w:sz="4" w:space="6" w:color="2E75B6"/>
        </w:pBdr>
      </w:pPr>
      <w:r>
        <w:t>§ 6. POUFNOŚĆ I OCHRONA DANYCH OSOBOWYCH</w:t>
      </w:r>
    </w:p>
    <w:p w14:paraId="0000002A" w14:textId="77777777" w:rsidR="00D4536D" w:rsidRDefault="00000000">
      <w:pPr>
        <w:pStyle w:val="Nagwek3"/>
      </w:pPr>
      <w:r>
        <w:t>Cel i znaczenie</w:t>
      </w:r>
    </w:p>
    <w:p w14:paraId="0000002B" w14:textId="77777777" w:rsidR="00D4536D" w:rsidRDefault="00000000">
      <w:pPr>
        <w:spacing w:after="140" w:line="276" w:lineRule="auto"/>
        <w:jc w:val="both"/>
      </w:pPr>
      <w:r>
        <w:rPr>
          <w:b/>
          <w:bCs/>
        </w:rPr>
        <w:lastRenderedPageBreak/>
        <w:t xml:space="preserve">Ust. 1 Zakres obowiązku poufności: </w:t>
      </w:r>
      <w:r>
        <w:t xml:space="preserve">Obowiązek poufności jest </w:t>
      </w:r>
      <w:r>
        <w:rPr>
          <w:b/>
          <w:bCs/>
        </w:rPr>
        <w:t>wzajemny</w:t>
      </w:r>
      <w:r>
        <w:t xml:space="preserve">, to znaczy chroni Informacje Poufne obu Stron. Przy skomplikowanych projektach ochrona prawna wymaga najczęściej zawarcia osobnego dokumentu NDA, regulującego dokładniej tę kwestię. </w:t>
      </w:r>
      <w:r>
        <w:rPr>
          <w:b/>
          <w:bCs/>
        </w:rPr>
        <w:t>Zalecamy ustalenie okresu związania obowiązkiem na co najmniej 3 lata</w:t>
      </w:r>
      <w:r>
        <w:t xml:space="preserve"> po zakończeniu umowy, co jest standardem rynkowym.</w:t>
      </w:r>
    </w:p>
    <w:p w14:paraId="0000002C" w14:textId="77777777" w:rsidR="00D4536D" w:rsidRDefault="00000000">
      <w:pPr>
        <w:spacing w:after="140" w:line="276" w:lineRule="auto"/>
        <w:jc w:val="both"/>
      </w:pPr>
      <w:r>
        <w:rPr>
          <w:b/>
          <w:bCs/>
        </w:rPr>
        <w:t xml:space="preserve">Ust. 3 Wyjątki od poufności: </w:t>
      </w:r>
      <w:r>
        <w:t>Wprowadzenie wyjątków jest konieczne, aby klauzula poufności była ważna i wykonalna. Bez nich strona mogłaby próbować blokować np. zeznania w sądzie lub odpowiedź na żądanie organu regulacyjnego.</w:t>
      </w:r>
    </w:p>
    <w:p w14:paraId="0000002D" w14:textId="77777777" w:rsidR="00D4536D" w:rsidRDefault="00000000">
      <w:pPr>
        <w:spacing w:after="140" w:line="276" w:lineRule="auto"/>
        <w:jc w:val="both"/>
      </w:pPr>
      <w:r>
        <w:rPr>
          <w:b/>
          <w:bCs/>
        </w:rPr>
        <w:t xml:space="preserve">Ust. 4 RODO, umowa powierzenia: </w:t>
      </w:r>
      <w:r>
        <w:t xml:space="preserve">Art. 28 RODO nakłada </w:t>
      </w:r>
      <w:r>
        <w:rPr>
          <w:b/>
          <w:bCs/>
        </w:rPr>
        <w:t>bezwzględny obowiązek</w:t>
      </w:r>
      <w:r>
        <w:t xml:space="preserve"> zawarcia pisemnej umowy powierzenia przetwarzania danych osobowych. Brak tej umowy skutkuje naruszeniem RODO, za które grozi kara administracyjna do 10 mln EUR, </w:t>
      </w:r>
      <w:r>
        <w:rPr>
          <w:rFonts w:ascii="Roboto" w:eastAsia="Roboto" w:hAnsi="Roboto" w:cs="Roboto"/>
          <w:color w:val="444746"/>
          <w:sz w:val="21"/>
          <w:szCs w:val="21"/>
          <w:highlight w:val="white"/>
        </w:rPr>
        <w:t>a w przypadku przedsiębiorstwa w wysokości do 2% jego całkowitego rocznego światowego obrotu z poprzedniego roku obrotowego.</w:t>
      </w:r>
    </w:p>
    <w:p w14:paraId="0000002E" w14:textId="77777777" w:rsidR="00D4536D" w:rsidRDefault="00000000">
      <w:pPr>
        <w:pStyle w:val="Nagwek2"/>
        <w:pBdr>
          <w:bottom w:val="single" w:sz="4" w:space="6" w:color="2E75B6"/>
        </w:pBdr>
      </w:pPr>
      <w:r>
        <w:t>§ 7. NON-SOLICITATION (ZAKAZ POZYSKIWANIA PERSONELU)</w:t>
      </w:r>
    </w:p>
    <w:p w14:paraId="0000002F" w14:textId="77777777" w:rsidR="00D4536D" w:rsidRDefault="00000000">
      <w:pPr>
        <w:pStyle w:val="Nagwek3"/>
      </w:pPr>
      <w:r>
        <w:t>Cel i znaczenie</w:t>
      </w:r>
    </w:p>
    <w:p w14:paraId="00000030" w14:textId="77777777" w:rsidR="00D4536D" w:rsidRDefault="00000000">
      <w:pPr>
        <w:spacing w:after="140" w:line="276" w:lineRule="auto"/>
        <w:jc w:val="both"/>
      </w:pPr>
      <w:r>
        <w:rPr>
          <w:b/>
          <w:bCs/>
        </w:rPr>
        <w:t xml:space="preserve">Ust. 1 Zakres podmiotowy i czasowy: </w:t>
      </w:r>
      <w:r>
        <w:t xml:space="preserve">Zakaz dotyczy tylko Specjalistów </w:t>
      </w:r>
      <w:r>
        <w:rPr>
          <w:b/>
          <w:bCs/>
        </w:rPr>
        <w:t>faktycznie zaangażowanych</w:t>
      </w:r>
      <w:r>
        <w:t xml:space="preserve"> w realizację Umowy, a nie wszystkich współpracowników Usługodawcy. To ważne, bo zbyt szeroka klauzula non-</w:t>
      </w:r>
      <w:proofErr w:type="spellStart"/>
      <w:r>
        <w:t>solicitation</w:t>
      </w:r>
      <w:proofErr w:type="spellEnd"/>
      <w:r>
        <w:t xml:space="preserve"> mogłaby zostać uznana za niedopuszczalne ograniczenie swobody działalności gospodarczej. </w:t>
      </w:r>
      <w:r>
        <w:rPr>
          <w:b/>
          <w:bCs/>
        </w:rPr>
        <w:t>Zalecamy 12 miesięcy</w:t>
      </w:r>
      <w:r>
        <w:t>, co jest uznanym standardem w orzecznictwie.</w:t>
      </w:r>
    </w:p>
    <w:p w14:paraId="00000031" w14:textId="77777777" w:rsidR="00D4536D" w:rsidRDefault="00000000">
      <w:pPr>
        <w:spacing w:after="140" w:line="276" w:lineRule="auto"/>
        <w:jc w:val="both"/>
      </w:pPr>
      <w:r>
        <w:rPr>
          <w:b/>
          <w:bCs/>
        </w:rPr>
        <w:t xml:space="preserve">Ust. 2 Kara umowna: </w:t>
      </w:r>
      <w:r>
        <w:t>Kara umowna w przypadku non-</w:t>
      </w:r>
      <w:proofErr w:type="spellStart"/>
      <w:r>
        <w:t>solicitation</w:t>
      </w:r>
      <w:proofErr w:type="spellEnd"/>
      <w:r>
        <w:t xml:space="preserve"> musi być </w:t>
      </w:r>
      <w:r>
        <w:rPr>
          <w:b/>
          <w:bCs/>
        </w:rPr>
        <w:t>proporcjonalna</w:t>
      </w:r>
      <w:r>
        <w:t xml:space="preserve"> do wartości, którą Usługodawca traci w wyniku przejęcia Specjalisty. Odniesienie do miesięcznego wynagrodzenia Specjalisty sprawia, że kara jest automatycznie indywidualizowana i trudna do zakwestionowania jako rażąco wygórowana.</w:t>
      </w:r>
    </w:p>
    <w:p w14:paraId="00000032" w14:textId="77777777" w:rsidR="00D4536D" w:rsidRDefault="00000000">
      <w:pPr>
        <w:pStyle w:val="Nagwek2"/>
        <w:pBdr>
          <w:bottom w:val="single" w:sz="4" w:space="6" w:color="2E75B6"/>
        </w:pBdr>
      </w:pPr>
      <w:r>
        <w:t>§ 8. ODPOWIEDZIALNOŚĆ I KARY UMOWNE</w:t>
      </w:r>
    </w:p>
    <w:p w14:paraId="00000033" w14:textId="77777777" w:rsidR="00D4536D" w:rsidRDefault="00000000">
      <w:pPr>
        <w:pStyle w:val="Nagwek3"/>
      </w:pPr>
      <w:r>
        <w:t>Cel i znaczenie</w:t>
      </w:r>
    </w:p>
    <w:p w14:paraId="00000034" w14:textId="77777777" w:rsidR="00D4536D" w:rsidRDefault="00000000">
      <w:pPr>
        <w:spacing w:after="140" w:line="276" w:lineRule="auto"/>
        <w:jc w:val="both"/>
      </w:pPr>
      <w:r>
        <w:rPr>
          <w:b/>
          <w:bCs/>
        </w:rPr>
        <w:t xml:space="preserve">Ust. 1 Odpowiedzialność za dobór Specjalisty: </w:t>
      </w:r>
      <w:r>
        <w:t xml:space="preserve">Usługodawca odpowiada za </w:t>
      </w:r>
      <w:r>
        <w:rPr>
          <w:b/>
          <w:bCs/>
        </w:rPr>
        <w:t>staranność</w:t>
      </w:r>
      <w:r>
        <w:t xml:space="preserve"> w doborze Specjalisty, tzn. za to, że Specjalista faktycznie ma kompetencje deklarowane w CV i Zamówieniu. Jest to obowiązek najlepiej opisany jako „gwarancja kwalifikacji” </w:t>
      </w:r>
      <w:r>
        <w:rPr>
          <w:rFonts w:ascii="Roboto" w:eastAsia="Roboto" w:hAnsi="Roboto" w:cs="Roboto"/>
          <w:color w:val="444746"/>
          <w:sz w:val="21"/>
          <w:szCs w:val="21"/>
          <w:highlight w:val="white"/>
        </w:rPr>
        <w:t>odnosi się do momentu delegowania (wyboru) Specjalisty, nie zaś do efektów pracy</w:t>
      </w:r>
    </w:p>
    <w:p w14:paraId="00000035" w14:textId="77777777" w:rsidR="00D4536D" w:rsidRDefault="00000000">
      <w:pPr>
        <w:spacing w:after="140" w:line="276" w:lineRule="auto"/>
        <w:jc w:val="both"/>
      </w:pPr>
      <w:r>
        <w:rPr>
          <w:b/>
          <w:bCs/>
        </w:rPr>
        <w:t xml:space="preserve">Ust. 2 Brak odpowiedzialności za rezultat: </w:t>
      </w:r>
      <w:r>
        <w:t>To podstawowe postanowienie dla body leasingu. Skoro Specjalista co do zasady świadczy usługi nad którymi “czuwa” Usługobiorca, to Usługodawca nie może odpowiadać za to, co ten Specjalista wytworzył, bo nie miał nad tym kontroli. Wyjątek: szkoda wynikająca z braku kompetencji niezgodnych z Zamówieniem. Oczywiście tutaj dopuszczalne jest inne uregulowanie w zależności od ustaleń stron.</w:t>
      </w:r>
    </w:p>
    <w:p w14:paraId="00000036" w14:textId="77777777" w:rsidR="00D4536D" w:rsidRDefault="00000000">
      <w:pPr>
        <w:spacing w:after="140" w:line="276" w:lineRule="auto"/>
        <w:jc w:val="both"/>
      </w:pPr>
      <w:r>
        <w:rPr>
          <w:b/>
          <w:bCs/>
        </w:rPr>
        <w:lastRenderedPageBreak/>
        <w:t xml:space="preserve">Ust. 5 Cap odpowiedzialności: </w:t>
      </w:r>
      <w:r>
        <w:t xml:space="preserve">Ograniczenie łącznej odpowiedzialności do wartości wynagrodzenia z danego Zamówienia to </w:t>
      </w:r>
      <w:r>
        <w:rPr>
          <w:b/>
          <w:bCs/>
        </w:rPr>
        <w:t>standard profesjonalnych umów IT</w:t>
      </w:r>
      <w:r>
        <w:t>. Bez tego zapisu Usługodawca teoretycznie mógłby odpowiadać za wielomilionowe straty Usługobiorcy powstałe wskutek błędów Specjalisty, mimo że wynagrodzenie z umowy wynosiło np. 50 tys. zł.</w:t>
      </w:r>
    </w:p>
    <w:p w14:paraId="00000037" w14:textId="77777777" w:rsidR="00D4536D" w:rsidRDefault="00000000">
      <w:pPr>
        <w:pStyle w:val="Nagwek2"/>
        <w:pBdr>
          <w:bottom w:val="single" w:sz="4" w:space="6" w:color="2E75B6"/>
        </w:pBdr>
      </w:pPr>
      <w:r>
        <w:t>§ 9. CZAS TRWANIA I ROZWIĄZANIE UMOWY</w:t>
      </w:r>
    </w:p>
    <w:p w14:paraId="00000038" w14:textId="77777777" w:rsidR="00D4536D" w:rsidRDefault="00000000">
      <w:pPr>
        <w:pStyle w:val="Nagwek3"/>
      </w:pPr>
      <w:r>
        <w:t>Cel i znaczenie</w:t>
      </w:r>
    </w:p>
    <w:p w14:paraId="00000039" w14:textId="77777777" w:rsidR="00D4536D" w:rsidRDefault="00000000">
      <w:pPr>
        <w:spacing w:after="140" w:line="276" w:lineRule="auto"/>
        <w:jc w:val="both"/>
      </w:pPr>
      <w:r>
        <w:rPr>
          <w:b/>
          <w:bCs/>
        </w:rPr>
        <w:t xml:space="preserve">Ust. 2 Wypowiedzenie z zachowaniem okresu: </w:t>
      </w:r>
      <w:r>
        <w:t xml:space="preserve">Okres wypowiedzenia chroni obie Strony — Usługodawca ma czas na znalezienie innego nabywcy usług Specjalisty, a Usługobiorca ma czas na znalezienie alternatywnego dostawcy. </w:t>
      </w:r>
      <w:r>
        <w:rPr>
          <w:b/>
          <w:bCs/>
        </w:rPr>
        <w:t>Zalecamy 1–3 miesiące</w:t>
      </w:r>
      <w:r>
        <w:t xml:space="preserve"> w zależności od skali współpracy.</w:t>
      </w:r>
    </w:p>
    <w:p w14:paraId="0000003A" w14:textId="77777777" w:rsidR="00D4536D" w:rsidRDefault="00000000">
      <w:pPr>
        <w:spacing w:after="140" w:line="276" w:lineRule="auto"/>
        <w:jc w:val="both"/>
      </w:pPr>
      <w:r>
        <w:rPr>
          <w:b/>
          <w:bCs/>
        </w:rPr>
        <w:t xml:space="preserve">Ust. 3 Rozwiązanie natychmiastowe: </w:t>
      </w:r>
      <w:r>
        <w:t xml:space="preserve">Katalog przesłanek rozwiązania bez wypowiedzenia jest </w:t>
      </w:r>
      <w:r>
        <w:rPr>
          <w:b/>
          <w:bCs/>
        </w:rPr>
        <w:t>zamknięty</w:t>
      </w:r>
      <w:r>
        <w:t xml:space="preserve">. Chroni to Strony przed arbitralnym powoływaniem się na bliżej nieokreślone „rażące naruszenia”. Kluczowe jest to, że każde naruszenie (poza naruszeniem poufności) musi być poprzedzone </w:t>
      </w:r>
      <w:r>
        <w:rPr>
          <w:b/>
          <w:bCs/>
        </w:rPr>
        <w:t>wezwaniem i 14-dniowym terminem naprawczym</w:t>
      </w:r>
      <w:r>
        <w:t>. Jest to standard wymagany przez orzecznictwo dla zachowania zasady proporcjonalności.</w:t>
      </w:r>
    </w:p>
    <w:p w14:paraId="0000003B" w14:textId="77777777" w:rsidR="00D4536D" w:rsidRDefault="00000000">
      <w:pPr>
        <w:spacing w:after="140" w:line="276" w:lineRule="auto"/>
        <w:jc w:val="both"/>
      </w:pPr>
      <w:r>
        <w:rPr>
          <w:b/>
          <w:bCs/>
        </w:rPr>
        <w:t xml:space="preserve">Ust. 4 Trwanie Zamówień po wygaśnięciu umowy ramowej: </w:t>
      </w:r>
      <w:r>
        <w:t xml:space="preserve">Rozwiązanie umowy ramowej </w:t>
      </w:r>
      <w:r>
        <w:rPr>
          <w:b/>
          <w:bCs/>
        </w:rPr>
        <w:t>nie powinno automatycznie przerywać</w:t>
      </w:r>
      <w:r>
        <w:t xml:space="preserve"> aktywnych Zamówień, bo Specjalista mógłby być w połowie projektu. Takie postanowienie chroni ciągłość realizacji i zapobiega sporom.</w:t>
      </w:r>
    </w:p>
    <w:p w14:paraId="0000003C" w14:textId="77777777" w:rsidR="00D4536D" w:rsidRDefault="00000000">
      <w:pPr>
        <w:pStyle w:val="Nagwek2"/>
        <w:pBdr>
          <w:bottom w:val="single" w:sz="4" w:space="6" w:color="2E75B6"/>
        </w:pBdr>
      </w:pPr>
      <w:r>
        <w:t>§ 10. POSTANOWIENIA KOŃCOWE</w:t>
      </w:r>
    </w:p>
    <w:p w14:paraId="0000003D" w14:textId="77777777" w:rsidR="00D4536D" w:rsidRDefault="00000000">
      <w:pPr>
        <w:pStyle w:val="Nagwek3"/>
      </w:pPr>
      <w:r>
        <w:t>Cel i znaczenie</w:t>
      </w:r>
    </w:p>
    <w:p w14:paraId="0000003E" w14:textId="77777777" w:rsidR="00D4536D" w:rsidRDefault="00000000">
      <w:pPr>
        <w:spacing w:after="140" w:line="276" w:lineRule="auto"/>
        <w:jc w:val="both"/>
      </w:pPr>
      <w:r>
        <w:rPr>
          <w:b/>
          <w:bCs/>
        </w:rPr>
        <w:t xml:space="preserve">Ust. 1 Odesłanie do KC i ustawy o  prawie autorskim i prawach pokrewnych: </w:t>
      </w:r>
      <w:r>
        <w:t xml:space="preserve">Wskazanie </w:t>
      </w:r>
      <w:r>
        <w:rPr>
          <w:b/>
          <w:bCs/>
        </w:rPr>
        <w:t>konkretnych artykułów KC</w:t>
      </w:r>
      <w:r>
        <w:t xml:space="preserve"> (734–751- umowa zlecenia) jako prawa uzupełniającego jest ważne, bo przesądza o tym, że do umowy stosuje się reżim zlecenia, to znaczy staranne działanie, a nie dzieła, czyli rezultatu. Ma to znaczenie m.in. dla możliwości wypowiedzenia umowy, odpowiedzialności za szkodę i wynagrodzenia.</w:t>
      </w:r>
    </w:p>
    <w:p w14:paraId="0000003F" w14:textId="77777777" w:rsidR="00D4536D" w:rsidRDefault="00000000">
      <w:pPr>
        <w:spacing w:after="140" w:line="276" w:lineRule="auto"/>
        <w:jc w:val="both"/>
      </w:pPr>
      <w:r>
        <w:rPr>
          <w:b/>
          <w:bCs/>
        </w:rPr>
        <w:t xml:space="preserve">Ust. 2 Zakaz cesji: </w:t>
      </w:r>
      <w:r>
        <w:t>Bez tego zapisu każda ze Stron mogłaby przenieść swoje prawa i obowiązki na podmiot trzeci bez zgody drugiej Strony. W kontekście body leasingu jest to szczególnie istotne, ponieważ Usługobiorca mógłby np. „odsprzedać” dostęp do Specjalisty swojemu kontrahentowi.</w:t>
      </w:r>
    </w:p>
    <w:p w14:paraId="00000040" w14:textId="77777777" w:rsidR="00D4536D" w:rsidRDefault="00000000">
      <w:pPr>
        <w:spacing w:after="140" w:line="276" w:lineRule="auto"/>
        <w:jc w:val="both"/>
      </w:pPr>
      <w:r>
        <w:rPr>
          <w:b/>
          <w:bCs/>
        </w:rPr>
        <w:t xml:space="preserve">Ust. 3 Forma dokumentowa zmian: </w:t>
      </w:r>
      <w:r>
        <w:t xml:space="preserve">Rygor nieważności dla zmian ustnych to ochrona przed sytuacją, w której jedna ze Stron twierdzi, że „ustnie uzgodniono zmianę stawki/zakresu/okresu”. Można również w razie potrzeby zastrzec formę pisemną. Forma dokumentowa najprościej mówiąc, to dokument w formie fizycznej, na którym własnoręczny podpis złożą obydwie </w:t>
      </w:r>
      <w:proofErr w:type="spellStart"/>
      <w:r>
        <w:t>storny</w:t>
      </w:r>
      <w:proofErr w:type="spellEnd"/>
      <w:r>
        <w:t xml:space="preserve">. Forma “dokumentowa” to np. Wymiana skanów podpisanych dokumentów lub forma “mailowa”. </w:t>
      </w:r>
    </w:p>
    <w:p w14:paraId="00000041" w14:textId="77777777" w:rsidR="00D4536D" w:rsidRDefault="00000000">
      <w:pPr>
        <w:spacing w:after="140" w:line="276" w:lineRule="auto"/>
        <w:jc w:val="both"/>
      </w:pPr>
      <w:r>
        <w:rPr>
          <w:b/>
          <w:bCs/>
        </w:rPr>
        <w:lastRenderedPageBreak/>
        <w:t xml:space="preserve">Ust. 4 Właściwość sądu: </w:t>
      </w:r>
      <w:r>
        <w:t>Wskazanie sądu właściwego dla siedziby Usługobiorcy jest standardem. Można negocjować właściwość sądu Usługodawcy lub sąd polubowny (arbitraż)- szybszy i bardziej dyskretny, ale droższy.</w:t>
      </w:r>
    </w:p>
    <w:p w14:paraId="00000042" w14:textId="77777777" w:rsidR="00D4536D" w:rsidRDefault="00D4536D">
      <w:pPr>
        <w:spacing w:after="200" w:line="276" w:lineRule="auto"/>
        <w:jc w:val="both"/>
      </w:pPr>
    </w:p>
    <w:p w14:paraId="00000043" w14:textId="77777777" w:rsidR="00D4536D" w:rsidRDefault="00000000">
      <w:pPr>
        <w:pBdr>
          <w:top w:val="single" w:sz="4" w:space="8" w:color="666666"/>
        </w:pBdr>
        <w:spacing w:before="200"/>
        <w:jc w:val="center"/>
      </w:pPr>
      <w:r>
        <w:rPr>
          <w:i/>
          <w:iCs/>
          <w:color w:val="666666"/>
          <w:sz w:val="16"/>
          <w:szCs w:val="16"/>
        </w:rPr>
        <w:t>Niniejszy komentarz ma charakter poglądowy i nie stanowi porady prawnej.</w:t>
      </w:r>
    </w:p>
    <w:p w14:paraId="00000044" w14:textId="77777777" w:rsidR="00D4536D" w:rsidRDefault="00000000">
      <w:pPr>
        <w:spacing w:after="40" w:line="276" w:lineRule="auto"/>
        <w:jc w:val="center"/>
      </w:pPr>
      <w:r>
        <w:rPr>
          <w:i/>
          <w:iCs/>
          <w:color w:val="666666"/>
          <w:sz w:val="16"/>
          <w:szCs w:val="16"/>
        </w:rPr>
        <w:t>Dostosowanie umowy do indywidualnej sytuacji wymaga konsultacji z radcą prawnym.</w:t>
      </w:r>
    </w:p>
    <w:p w14:paraId="00000045" w14:textId="77777777" w:rsidR="00D4536D" w:rsidRDefault="00000000">
      <w:pPr>
        <w:spacing w:after="140" w:line="276" w:lineRule="auto"/>
        <w:jc w:val="center"/>
      </w:pPr>
      <w:r>
        <w:rPr>
          <w:b/>
          <w:bCs/>
          <w:color w:val="2E75B6"/>
          <w:sz w:val="16"/>
          <w:szCs w:val="16"/>
        </w:rPr>
        <w:t>Kancelaria Radców Prawnych KTZR | ktzr.pl | biuro@ktzr.pl</w:t>
      </w:r>
    </w:p>
    <w:sectPr w:rsidR="00D4536D">
      <w:headerReference w:type="default" r:id="rId7"/>
      <w:footerReference w:type="default" r:id="rId8"/>
      <w:pgSz w:w="11906" w:h="16838"/>
      <w:pgMar w:top="1440" w:right="1300" w:bottom="1200" w:left="130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1EE5E" w14:textId="77777777" w:rsidR="009D332D" w:rsidRDefault="009D332D">
      <w:r>
        <w:separator/>
      </w:r>
    </w:p>
  </w:endnote>
  <w:endnote w:type="continuationSeparator" w:id="0">
    <w:p w14:paraId="0A1BA8C3" w14:textId="77777777" w:rsidR="009D332D" w:rsidRDefault="009D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FBC1A97D-2759-46BF-96FA-27EF2B04512E}"/>
  </w:font>
  <w:font w:name="Roboto">
    <w:charset w:val="00"/>
    <w:family w:val="auto"/>
    <w:pitch w:val="variable"/>
    <w:sig w:usb0="E0000AFF" w:usb1="5000217F" w:usb2="00000021" w:usb3="00000000" w:csb0="0000019F" w:csb1="00000000"/>
    <w:embedRegular r:id="rId2" w:fontKey="{27792566-E390-424F-AE89-157762B5EFB8}"/>
  </w:font>
  <w:font w:name="Calibri">
    <w:panose1 w:val="020F0502020204030204"/>
    <w:charset w:val="EE"/>
    <w:family w:val="swiss"/>
    <w:pitch w:val="variable"/>
    <w:sig w:usb0="E4002EFF" w:usb1="C000247B" w:usb2="00000009" w:usb3="00000000" w:csb0="000001FF" w:csb1="00000000"/>
    <w:embedRegular r:id="rId3" w:fontKey="{ADA28208-9DA2-49DE-949A-119D24A43DAB}"/>
  </w:font>
  <w:font w:name="Cambria">
    <w:panose1 w:val="02040503050406030204"/>
    <w:charset w:val="EE"/>
    <w:family w:val="roman"/>
    <w:pitch w:val="variable"/>
    <w:sig w:usb0="E00006FF" w:usb1="420024FF" w:usb2="02000000" w:usb3="00000000" w:csb0="0000019F" w:csb1="00000000"/>
    <w:embedRegular r:id="rId4" w:fontKey="{209F528F-4C65-4E14-851C-91F680F35B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C65E" w14:textId="77777777" w:rsidR="00C32300" w:rsidRDefault="00C32300">
    <w:pPr>
      <w:pBdr>
        <w:top w:val="single" w:sz="4" w:space="4" w:color="2E75B6"/>
      </w:pBdr>
      <w:jc w:val="center"/>
      <w:rPr>
        <w:color w:val="666666"/>
        <w:sz w:val="16"/>
        <w:szCs w:val="16"/>
      </w:rPr>
    </w:pPr>
  </w:p>
  <w:p w14:paraId="00000047" w14:textId="2CFD2915" w:rsidR="00D4536D" w:rsidRDefault="00000000">
    <w:pPr>
      <w:pBdr>
        <w:top w:val="single" w:sz="4" w:space="4" w:color="2E75B6"/>
      </w:pBdr>
      <w:jc w:val="center"/>
      <w:rPr>
        <w:color w:val="666666"/>
        <w:sz w:val="16"/>
        <w:szCs w:val="16"/>
      </w:rPr>
    </w:pPr>
    <w:r>
      <w:rPr>
        <w:color w:val="666666"/>
        <w:sz w:val="16"/>
        <w:szCs w:val="16"/>
      </w:rPr>
      <w:t xml:space="preserve">Strona </w:t>
    </w:r>
    <w:r>
      <w:rPr>
        <w:color w:val="666666"/>
        <w:sz w:val="16"/>
        <w:szCs w:val="16"/>
      </w:rPr>
      <w:fldChar w:fldCharType="begin"/>
    </w:r>
    <w:r>
      <w:rPr>
        <w:color w:val="666666"/>
        <w:sz w:val="16"/>
        <w:szCs w:val="16"/>
      </w:rPr>
      <w:instrText>PAGE</w:instrText>
    </w:r>
    <w:r>
      <w:rPr>
        <w:color w:val="666666"/>
        <w:sz w:val="16"/>
        <w:szCs w:val="16"/>
      </w:rPr>
      <w:fldChar w:fldCharType="separate"/>
    </w:r>
    <w:r w:rsidR="00C32300">
      <w:rPr>
        <w:noProof/>
        <w:color w:val="666666"/>
        <w:sz w:val="16"/>
        <w:szCs w:val="16"/>
      </w:rPr>
      <w:t>1</w:t>
    </w:r>
    <w:r>
      <w:rPr>
        <w:color w:val="666666"/>
        <w:sz w:val="16"/>
        <w:szCs w:val="16"/>
      </w:rPr>
      <w:fldChar w:fldCharType="end"/>
    </w:r>
    <w:r>
      <w:rPr>
        <w:color w:val="666666"/>
        <w:sz w:val="16"/>
        <w:szCs w:val="16"/>
      </w:rPr>
      <w:t xml:space="preserve"> z </w:t>
    </w:r>
    <w:r>
      <w:rPr>
        <w:color w:val="666666"/>
        <w:sz w:val="16"/>
        <w:szCs w:val="16"/>
      </w:rPr>
      <w:fldChar w:fldCharType="begin"/>
    </w:r>
    <w:r>
      <w:rPr>
        <w:color w:val="666666"/>
        <w:sz w:val="16"/>
        <w:szCs w:val="16"/>
      </w:rPr>
      <w:instrText>NUMPAGES</w:instrText>
    </w:r>
    <w:r>
      <w:rPr>
        <w:color w:val="666666"/>
        <w:sz w:val="16"/>
        <w:szCs w:val="16"/>
      </w:rPr>
      <w:fldChar w:fldCharType="separate"/>
    </w:r>
    <w:r w:rsidR="00C32300">
      <w:rPr>
        <w:noProof/>
        <w:color w:val="666666"/>
        <w:sz w:val="16"/>
        <w:szCs w:val="16"/>
      </w:rPr>
      <w:t>2</w:t>
    </w:r>
    <w:r>
      <w:rPr>
        <w:color w:val="666666"/>
        <w:sz w:val="16"/>
        <w:szCs w:val="16"/>
      </w:rPr>
      <w:fldChar w:fldCharType="end"/>
    </w:r>
    <w:r>
      <w:rPr>
        <w:color w:val="666666"/>
        <w:sz w:val="16"/>
        <w:szCs w:val="16"/>
      </w:rPr>
      <w:t xml:space="preserve">  |  ktzr.pl — Kancelaria Radców Prawnych</w:t>
    </w:r>
    <w:r w:rsidR="00C32300">
      <w:rPr>
        <w:color w:val="666666"/>
        <w:sz w:val="16"/>
        <w:szCs w:val="16"/>
      </w:rPr>
      <w:t xml:space="preserve"> Żurawska Piotrowski i Wspólnicy</w:t>
    </w:r>
  </w:p>
  <w:p w14:paraId="4B872CEF" w14:textId="77777777" w:rsidR="00C32300" w:rsidRDefault="00C32300">
    <w:pPr>
      <w:pBdr>
        <w:top w:val="single" w:sz="4" w:space="4" w:color="2E75B6"/>
      </w:pBdr>
      <w:jc w:val="center"/>
      <w:rPr>
        <w:color w:val="666666"/>
        <w:sz w:val="16"/>
        <w:szCs w:val="16"/>
      </w:rPr>
    </w:pPr>
  </w:p>
  <w:p w14:paraId="7948EF7E" w14:textId="7E18BB0B" w:rsidR="00C32300" w:rsidRDefault="00C32300">
    <w:pPr>
      <w:pBdr>
        <w:top w:val="single" w:sz="4" w:space="4" w:color="2E75B6"/>
      </w:pBdr>
      <w:jc w:val="center"/>
    </w:pPr>
    <w:r w:rsidRPr="00B47682">
      <w:rPr>
        <w:b/>
        <w:bCs/>
        <w:noProof/>
      </w:rPr>
      <w:drawing>
        <wp:inline distT="0" distB="0" distL="0" distR="0" wp14:anchorId="15CC8205" wp14:editId="61A4B861">
          <wp:extent cx="4624070" cy="724535"/>
          <wp:effectExtent l="0" t="0" r="5080" b="0"/>
          <wp:docPr id="1553112774" name="Obraz 1" descr="Obraz zawierający zrzut ekranu, Czcionka, tekst, Grafika&#10;&#10;Zawartość wygenerowana przez AI może być niepoprawn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12774" name="Obraz 1" descr="Obraz zawierający zrzut ekranu, Czcionka, tekst, Grafika&#10;&#10;Zawartość wygenerowana przez AI może być niepoprawna.">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24070" cy="7245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BA8FD" w14:textId="77777777" w:rsidR="009D332D" w:rsidRDefault="009D332D">
      <w:r>
        <w:separator/>
      </w:r>
    </w:p>
  </w:footnote>
  <w:footnote w:type="continuationSeparator" w:id="0">
    <w:p w14:paraId="486DF414" w14:textId="77777777" w:rsidR="009D332D" w:rsidRDefault="009D3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D4536D" w:rsidRDefault="00000000">
    <w:pPr>
      <w:pBdr>
        <w:bottom w:val="single" w:sz="4" w:space="4" w:color="2E75B6"/>
      </w:pBdr>
      <w:jc w:val="right"/>
    </w:pPr>
    <w:r>
      <w:rPr>
        <w:i/>
        <w:iCs/>
        <w:color w:val="666666"/>
        <w:sz w:val="16"/>
        <w:szCs w:val="16"/>
      </w:rPr>
      <w:t>Komentarz prawny do umowy body leasing IT | ktzr.pl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36D"/>
    <w:rsid w:val="009D332D"/>
    <w:rsid w:val="00C32300"/>
    <w:rsid w:val="00D4536D"/>
    <w:rsid w:val="00DB28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1B051"/>
  <w15:docId w15:val="{AC3B4CFB-961C-4989-A985-84D95BCA7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400" w:after="200"/>
      <w:jc w:val="center"/>
      <w:outlineLvl w:val="0"/>
    </w:pPr>
    <w:rPr>
      <w:b/>
      <w:bCs/>
      <w:color w:val="1F3864"/>
      <w:sz w:val="32"/>
      <w:szCs w:val="32"/>
    </w:rPr>
  </w:style>
  <w:style w:type="paragraph" w:styleId="Nagwek2">
    <w:name w:val="heading 2"/>
    <w:basedOn w:val="Normalny"/>
    <w:next w:val="Normalny"/>
    <w:uiPriority w:val="9"/>
    <w:unhideWhenUsed/>
    <w:qFormat/>
    <w:pPr>
      <w:pBdr>
        <w:top w:val="nil"/>
        <w:left w:val="nil"/>
        <w:bottom w:val="nil"/>
        <w:right w:val="nil"/>
        <w:between w:val="nil"/>
      </w:pBdr>
      <w:spacing w:before="360" w:after="160"/>
      <w:outlineLvl w:val="1"/>
    </w:pPr>
    <w:rPr>
      <w:b/>
      <w:bCs/>
      <w:color w:val="1F3864"/>
      <w:sz w:val="26"/>
      <w:szCs w:val="26"/>
    </w:rPr>
  </w:style>
  <w:style w:type="paragraph" w:styleId="Nagwek3">
    <w:name w:val="heading 3"/>
    <w:basedOn w:val="Normalny"/>
    <w:next w:val="Normalny"/>
    <w:uiPriority w:val="9"/>
    <w:unhideWhenUsed/>
    <w:qFormat/>
    <w:pPr>
      <w:pBdr>
        <w:top w:val="nil"/>
        <w:left w:val="nil"/>
        <w:bottom w:val="nil"/>
        <w:right w:val="nil"/>
        <w:between w:val="nil"/>
      </w:pBdr>
      <w:spacing w:before="200" w:after="100"/>
      <w:outlineLvl w:val="2"/>
    </w:pPr>
    <w:rPr>
      <w:b/>
      <w:bCs/>
      <w:color w:val="2E75B6"/>
    </w:rPr>
  </w:style>
  <w:style w:type="paragraph" w:styleId="Nagwek4">
    <w:name w:val="heading 4"/>
    <w:basedOn w:val="Normalny"/>
    <w:next w:val="Normalny"/>
    <w:uiPriority w:val="9"/>
    <w:semiHidden/>
    <w:unhideWhenUsed/>
    <w:qFormat/>
    <w:pPr>
      <w:pBdr>
        <w:top w:val="nil"/>
        <w:left w:val="nil"/>
        <w:bottom w:val="nil"/>
        <w:right w:val="nil"/>
        <w:between w:val="nil"/>
      </w:pBdr>
      <w:outlineLvl w:val="3"/>
    </w:pPr>
    <w:rPr>
      <w:i/>
      <w:iCs/>
      <w:color w:val="2E74B5"/>
    </w:rPr>
  </w:style>
  <w:style w:type="paragraph" w:styleId="Nagwek5">
    <w:name w:val="heading 5"/>
    <w:basedOn w:val="Normalny"/>
    <w:next w:val="Normalny"/>
    <w:uiPriority w:val="9"/>
    <w:semiHidden/>
    <w:unhideWhenUsed/>
    <w:qFormat/>
    <w:pPr>
      <w:pBdr>
        <w:top w:val="nil"/>
        <w:left w:val="nil"/>
        <w:bottom w:val="nil"/>
        <w:right w:val="nil"/>
        <w:between w:val="nil"/>
      </w:pBdr>
      <w:outlineLvl w:val="4"/>
    </w:pPr>
    <w:rPr>
      <w:color w:val="2E74B5"/>
    </w:rPr>
  </w:style>
  <w:style w:type="paragraph" w:styleId="Nagwek6">
    <w:name w:val="heading 6"/>
    <w:basedOn w:val="Normalny"/>
    <w:next w:val="Normalny"/>
    <w:uiPriority w:val="9"/>
    <w:semiHidden/>
    <w:unhideWhenUsed/>
    <w:qFormat/>
    <w:pPr>
      <w:pBdr>
        <w:top w:val="nil"/>
        <w:left w:val="nil"/>
        <w:bottom w:val="nil"/>
        <w:right w:val="nil"/>
        <w:between w:val="nil"/>
      </w:pBdr>
      <w:outlineLvl w:val="5"/>
    </w:pPr>
    <w:rPr>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pBdr>
        <w:top w:val="nil"/>
        <w:left w:val="nil"/>
        <w:bottom w:val="nil"/>
        <w:right w:val="nil"/>
        <w:between w:val="nil"/>
      </w:pBdr>
    </w:pPr>
    <w:rPr>
      <w:color w:val="000000"/>
      <w:sz w:val="56"/>
      <w:szCs w:val="56"/>
    </w:rPr>
  </w:style>
  <w:style w:type="paragraph" w:customStyle="1" w:styleId="Pogrubienie1">
    <w:name w:val="Pogrubienie1"/>
    <w:basedOn w:val="Normalny"/>
    <w:next w:val="Normalny"/>
    <w:qFormat/>
    <w:rPr>
      <w:b/>
      <w:bCs/>
    </w:rPr>
  </w:style>
  <w:style w:type="paragraph" w:styleId="Akapitzlist">
    <w:name w:val="List Paragraph"/>
    <w:basedOn w:val="Normalny"/>
    <w:qFormat/>
  </w:style>
  <w:style w:type="character" w:styleId="Hipercze">
    <w:name w:val="Hyperlink"/>
    <w:uiPriority w:val="99"/>
    <w:unhideWhenUsed/>
    <w:rPr>
      <w:color w:val="0563C1"/>
      <w:u w:val="single"/>
    </w:rPr>
  </w:style>
  <w:style w:type="character" w:styleId="Odwoanieprzypisudolnego">
    <w:name w:val="footnote reference"/>
    <w:uiPriority w:val="99"/>
    <w:semiHidden/>
    <w:unhideWhenUsed/>
    <w:rPr>
      <w:vertAlign w:val="superscript"/>
    </w:rPr>
  </w:style>
  <w:style w:type="paragraph" w:styleId="Tekstprzypisudolnego">
    <w:name w:val="footnote text"/>
    <w:basedOn w:val="Normalny"/>
    <w:link w:val="TekstprzypisudolnegoZnak"/>
    <w:uiPriority w:val="99"/>
    <w:semiHidden/>
    <w:unhideWhenUsed/>
    <w:rPr>
      <w:sz w:val="20"/>
      <w:szCs w:val="20"/>
    </w:rPr>
  </w:style>
  <w:style w:type="character" w:customStyle="1" w:styleId="TekstprzypisudolnegoZnak">
    <w:name w:val="Tekst przypisu dolnego Znak"/>
    <w:link w:val="Tekstprzypisudolnego"/>
    <w:uiPriority w:val="99"/>
    <w:semiHidden/>
    <w:unhideWhenUsed/>
    <w:rPr>
      <w:sz w:val="20"/>
      <w:szCs w:val="20"/>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Nagwek">
    <w:name w:val="header"/>
    <w:basedOn w:val="Normalny"/>
    <w:link w:val="NagwekZnak"/>
    <w:uiPriority w:val="99"/>
    <w:unhideWhenUsed/>
    <w:rsid w:val="00C32300"/>
    <w:pPr>
      <w:tabs>
        <w:tab w:val="center" w:pos="4536"/>
        <w:tab w:val="right" w:pos="9072"/>
      </w:tabs>
    </w:pPr>
  </w:style>
  <w:style w:type="character" w:customStyle="1" w:styleId="NagwekZnak">
    <w:name w:val="Nagłówek Znak"/>
    <w:basedOn w:val="Domylnaczcionkaakapitu"/>
    <w:link w:val="Nagwek"/>
    <w:uiPriority w:val="99"/>
    <w:rsid w:val="00C32300"/>
  </w:style>
  <w:style w:type="paragraph" w:styleId="Stopka">
    <w:name w:val="footer"/>
    <w:basedOn w:val="Normalny"/>
    <w:link w:val="StopkaZnak"/>
    <w:uiPriority w:val="99"/>
    <w:unhideWhenUsed/>
    <w:rsid w:val="00C32300"/>
    <w:pPr>
      <w:tabs>
        <w:tab w:val="center" w:pos="4536"/>
        <w:tab w:val="right" w:pos="9072"/>
      </w:tabs>
    </w:pPr>
  </w:style>
  <w:style w:type="character" w:customStyle="1" w:styleId="StopkaZnak">
    <w:name w:val="Stopka Znak"/>
    <w:basedOn w:val="Domylnaczcionkaakapitu"/>
    <w:link w:val="Stopka"/>
    <w:uiPriority w:val="99"/>
    <w:rsid w:val="00C32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ktzr.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xbi0DinmCou0Xt6Igi+Qrx2Dzg==">CgMxLjA4AHIhMTI3Nm4xeHp0VE8yeGhJOWlZY2YyWmwzV2JJajZ2ZUtK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1888</Words>
  <Characters>11332</Characters>
  <Application>Microsoft Office Word</Application>
  <DocSecurity>0</DocSecurity>
  <Lines>94</Lines>
  <Paragraphs>26</Paragraphs>
  <ScaleCrop>false</ScaleCrop>
  <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Adam Piotrowski</cp:lastModifiedBy>
  <cp:revision>2</cp:revision>
  <dcterms:created xsi:type="dcterms:W3CDTF">2026-03-04T23:35:00Z</dcterms:created>
  <dcterms:modified xsi:type="dcterms:W3CDTF">2026-03-05T23:15:00Z</dcterms:modified>
</cp:coreProperties>
</file>